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方正小标宋_GBK" w:hAnsi="方正小标宋_GBK" w:eastAsia="方正小标宋_GBK" w:cs="方正小标宋_GBK"/>
          <w:bCs/>
          <w:sz w:val="44"/>
        </w:rPr>
      </w:pPr>
      <w:r>
        <w:rPr>
          <w:rFonts w:hint="eastAsia" w:ascii="方正小标宋_GBK" w:hAnsi="方正小标宋_GBK" w:eastAsia="方正小标宋_GBK" w:cs="方正小标宋_GBK"/>
          <w:bCs/>
          <w:sz w:val="44"/>
        </w:rPr>
        <w:t>武侯区跳伞塔地标构筑物设计方案征集</w:t>
      </w:r>
    </w:p>
    <w:p>
      <w:pPr>
        <w:spacing w:line="590" w:lineRule="exact"/>
        <w:jc w:val="center"/>
        <w:rPr>
          <w:rFonts w:ascii="方正小标宋_GBK" w:hAnsi="方正小标宋_GBK" w:eastAsia="方正小标宋_GBK" w:cs="方正小标宋_GBK"/>
          <w:bCs/>
          <w:sz w:val="44"/>
        </w:rPr>
      </w:pPr>
      <w:r>
        <w:rPr>
          <w:rFonts w:hint="eastAsia" w:ascii="方正小标宋_GBK" w:hAnsi="方正小标宋_GBK" w:eastAsia="方正小标宋_GBK" w:cs="方正小标宋_GBK"/>
          <w:bCs/>
          <w:sz w:val="44"/>
        </w:rPr>
        <w:t>活动公告</w:t>
      </w:r>
    </w:p>
    <w:p>
      <w:pPr>
        <w:spacing w:line="590" w:lineRule="exact"/>
        <w:jc w:val="center"/>
        <w:rPr>
          <w:rFonts w:eastAsia="方正小标宋_GBK"/>
          <w:b/>
          <w:bCs/>
          <w:color w:val="00B050"/>
          <w:sz w:val="44"/>
          <w:szCs w:val="44"/>
        </w:rPr>
      </w:pPr>
    </w:p>
    <w:p>
      <w:pPr>
        <w:pStyle w:val="7"/>
        <w:spacing w:beforeAutospacing="0" w:afterAutospacing="0" w:line="540" w:lineRule="exact"/>
        <w:ind w:firstLine="640" w:firstLineChars="200"/>
        <w:jc w:val="both"/>
        <w:outlineLvl w:val="0"/>
        <w:rPr>
          <w:rFonts w:ascii="Times New Roman" w:hAnsi="Times New Roman" w:eastAsiaTheme="majorEastAsia"/>
          <w:b/>
          <w:bCs/>
          <w:sz w:val="32"/>
          <w:szCs w:val="32"/>
        </w:rPr>
      </w:pPr>
      <w:r>
        <w:rPr>
          <w:rFonts w:hint="eastAsia" w:ascii="黑体" w:hAnsi="黑体" w:eastAsia="黑体" w:cs="黑体"/>
          <w:sz w:val="32"/>
        </w:rPr>
        <w:t>一、项目背景</w:t>
      </w:r>
      <w:r>
        <w:rPr>
          <w:rFonts w:hint="eastAsia" w:ascii="方正黑体_GBK" w:eastAsia="方正黑体_GBK"/>
          <w:b/>
          <w:bCs/>
          <w:sz w:val="32"/>
        </w:rPr>
        <w:t xml:space="preserve"> </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 xml:space="preserve">跳伞塔座落于成都南面文化区中心，地处人民南路与南一环路交汇的繁华地段。项目地理区位与交通区位十分优异。同时，跳伞塔是成都市独一无二的标志性构筑物，承载了几代老成都人的记忆，在吸引人气、挖掘创新价值等方面均具有极其深厚的潜力。 </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本次征集工作力求吸引全球高水平专业团队和社会力量共同参与构筑物的设计建设，诚邀国内外具有相关项目经验的优秀设计机构应征参与。</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征集单位：成都武侯环城生态建设有限公司</w:t>
      </w:r>
    </w:p>
    <w:p>
      <w:pPr>
        <w:pStyle w:val="7"/>
        <w:spacing w:beforeAutospacing="0" w:afterAutospacing="0" w:line="540" w:lineRule="exact"/>
        <w:ind w:firstLine="640" w:firstLineChars="200"/>
        <w:jc w:val="both"/>
        <w:outlineLvl w:val="0"/>
        <w:rPr>
          <w:rFonts w:ascii="黑体" w:hAnsi="黑体" w:eastAsia="黑体" w:cs="黑体"/>
          <w:sz w:val="32"/>
          <w:szCs w:val="36"/>
        </w:rPr>
      </w:pPr>
      <w:r>
        <w:rPr>
          <w:rFonts w:hint="eastAsia" w:ascii="黑体" w:hAnsi="黑体" w:eastAsia="黑体" w:cs="黑体"/>
          <w:sz w:val="32"/>
        </w:rPr>
        <w:t xml:space="preserve">二、项目概况 </w:t>
      </w:r>
    </w:p>
    <w:p>
      <w:pPr>
        <w:spacing w:line="540" w:lineRule="exact"/>
        <w:ind w:firstLine="640" w:firstLineChars="200"/>
        <w:textAlignment w:val="baseline"/>
        <w:rPr>
          <w:rFonts w:ascii="楷体" w:hAnsi="楷体" w:eastAsia="楷体" w:cs="楷体"/>
          <w:sz w:val="32"/>
        </w:rPr>
      </w:pPr>
      <w:r>
        <w:rPr>
          <w:rFonts w:hint="eastAsia" w:ascii="楷体" w:hAnsi="楷体" w:eastAsia="楷体" w:cs="楷体"/>
          <w:sz w:val="32"/>
        </w:rPr>
        <w:t>（一）设计理念</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基于成都地域和现代文化，同时也立足于全球化的语境，结合全新视角，发展出当代设计语言，在本次设计竞赛中集结展现。</w:t>
      </w:r>
    </w:p>
    <w:p>
      <w:pPr>
        <w:spacing w:line="540" w:lineRule="exact"/>
        <w:ind w:firstLine="640" w:firstLineChars="200"/>
        <w:textAlignment w:val="baseline"/>
        <w:rPr>
          <w:rFonts w:ascii="楷体" w:hAnsi="楷体" w:eastAsia="楷体" w:cs="楷体"/>
          <w:sz w:val="32"/>
        </w:rPr>
      </w:pPr>
      <w:r>
        <w:rPr>
          <w:rFonts w:hint="eastAsia" w:ascii="楷体" w:hAnsi="楷体" w:eastAsia="楷体" w:cs="楷体"/>
          <w:sz w:val="32"/>
        </w:rPr>
        <w:t>（二）文化延续</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1965年，在成都市南门建设起了造型奇特的成都跳伞塔。整个塔高60米，塔身直径5米，附属设施有浪桥、虎伏、旋梯等地面运动器械，成为了当时成都的地标建筑。1984年3月21日，为了修建四川省体育馆，拆除了跳伞塔。这座建筑见证了上世纪60年代成都一段辉煌的跳伞史，也凝聚了那一代老成都人的体育情怀。</w:t>
      </w:r>
    </w:p>
    <w:p>
      <w:pPr>
        <w:spacing w:line="540" w:lineRule="exact"/>
        <w:ind w:firstLine="640" w:firstLineChars="200"/>
        <w:textAlignment w:val="baseline"/>
        <w:rPr>
          <w:rFonts w:ascii="楷体" w:hAnsi="楷体" w:eastAsia="楷体" w:cs="楷体"/>
          <w:sz w:val="32"/>
          <w:szCs w:val="32"/>
        </w:rPr>
      </w:pPr>
      <w:r>
        <w:rPr>
          <w:rFonts w:hint="eastAsia" w:ascii="楷体" w:hAnsi="楷体" w:eastAsia="楷体" w:cs="楷体"/>
          <w:sz w:val="32"/>
        </w:rPr>
        <w:t>（三）项目区位</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该地块位于成都市中心城区，紧邻成都南北城市中轴线和一环路。地铁1号线、3号线、18号线三条地铁线交汇，交通便利。周边有国际体育公园城、省体育馆、三小球馆等城市公共建筑，毗邻来福士广场等成熟商圈。</w:t>
      </w:r>
    </w:p>
    <w:p>
      <w:pPr>
        <w:spacing w:line="540" w:lineRule="exact"/>
        <w:ind w:firstLine="640" w:firstLineChars="200"/>
        <w:rPr>
          <w:rFonts w:ascii="楷体" w:hAnsi="楷体" w:eastAsia="楷体" w:cs="楷体"/>
          <w:sz w:val="32"/>
          <w:szCs w:val="40"/>
        </w:rPr>
      </w:pPr>
      <w:r>
        <w:rPr>
          <w:rFonts w:hint="eastAsia" w:ascii="楷体" w:hAnsi="楷体" w:eastAsia="楷体" w:cs="楷体"/>
          <w:sz w:val="32"/>
        </w:rPr>
        <w:t>（四）参与资格要求</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1.中国境内设计机构必须具有在有效期经营内的合法性证明文件，且必须为独立企业法人或其他组织或取得合法授权的分支单位。境外设计单位必须为所在地合法注册的设计单位。</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2.设计机构应为境内外的合法注册的具有相关设计能力的设计机构或合法注册的港、澳、台设计机构或由合法注册的设计机构组成的联合体。允许联合体报名。</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3.应征单位：被“列入失信被执行人、重大税收违法案件当事人名单、政府采购严重违法失信行为记录名单”的机构，征集单位有权拒绝其参加本次征集活动。</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4.报名及最后成果提交单位少于5家时，本项目征集工作终止，征集人不对应征单位做任何补偿。</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5.无效应征方案及征集结果公示后，未中标方案及文件，由应征单位在收到通知后的 7 日内取回，征集人不予支付补偿费，逾期未取的无效应征方案，由组织单位作报废处理。</w:t>
      </w:r>
    </w:p>
    <w:p>
      <w:pPr>
        <w:spacing w:line="540" w:lineRule="exact"/>
        <w:ind w:firstLine="640" w:firstLineChars="200"/>
        <w:rPr>
          <w:rFonts w:ascii="楷体" w:hAnsi="楷体" w:eastAsia="楷体" w:cs="楷体"/>
          <w:sz w:val="32"/>
          <w:szCs w:val="40"/>
        </w:rPr>
      </w:pPr>
      <w:r>
        <w:rPr>
          <w:rFonts w:hint="eastAsia" w:ascii="楷体" w:hAnsi="楷体" w:eastAsia="楷体" w:cs="楷体"/>
          <w:sz w:val="32"/>
        </w:rPr>
        <w:t>（五）参与形式</w:t>
      </w:r>
    </w:p>
    <w:p>
      <w:pPr>
        <w:pStyle w:val="14"/>
        <w:spacing w:line="54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i w:val="0"/>
          <w:iCs w:val="0"/>
          <w:caps w:val="0"/>
          <w:spacing w:val="0"/>
          <w:sz w:val="32"/>
          <w:szCs w:val="24"/>
          <w:shd w:val="clear" w:fill="auto"/>
        </w:rPr>
        <w:t>本次活动报名采取线上形式，参与本次活动的设计机构请于2024年7月11日17：00 前 （以北京时间为准）将报名文件发送至电子邮箱（zbcgb2024@163.com），未在规定时间内提交报名材料的，报名无效。</w:t>
      </w:r>
    </w:p>
    <w:p>
      <w:pPr>
        <w:spacing w:line="540" w:lineRule="exact"/>
        <w:ind w:firstLine="640" w:firstLineChars="200"/>
        <w:rPr>
          <w:rFonts w:ascii="楷体" w:hAnsi="楷体" w:eastAsia="楷体" w:cs="楷体"/>
          <w:sz w:val="32"/>
          <w:szCs w:val="40"/>
        </w:rPr>
      </w:pPr>
      <w:r>
        <w:rPr>
          <w:rFonts w:hint="eastAsia" w:ascii="楷体" w:hAnsi="楷体" w:eastAsia="楷体" w:cs="楷体"/>
          <w:sz w:val="32"/>
        </w:rPr>
        <w:t>（六）报名文件的组成</w:t>
      </w:r>
    </w:p>
    <w:p>
      <w:pPr>
        <w:pStyle w:val="14"/>
        <w:spacing w:line="54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参与应征的设计机构请按照以下顺序编制报名文件，并列目录及对应页码。所提供的各类证明材料如为复印件，应在复印件上加盖公章确认其真实性。</w:t>
      </w:r>
    </w:p>
    <w:p>
      <w:pPr>
        <w:pStyle w:val="14"/>
        <w:spacing w:line="54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报名文件以电子版PDF格式提交，并制作封面和目录。格式参照附件报名文件格式。</w:t>
      </w:r>
    </w:p>
    <w:p>
      <w:pPr>
        <w:pStyle w:val="14"/>
        <w:spacing w:line="54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活动参与声明：活动参与声明及授权、公司名称、联系人信息（此页需盖章及签名）。</w:t>
      </w:r>
    </w:p>
    <w:p>
      <w:pPr>
        <w:pStyle w:val="14"/>
        <w:spacing w:line="54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保密承诺函：报名参加活动须签订保密承诺函，并盖设计单位鲜章并发电子扫描版。</w:t>
      </w:r>
    </w:p>
    <w:p>
      <w:pPr>
        <w:pStyle w:val="14"/>
        <w:spacing w:line="54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联合体协议书（若有）：以设计联合体名义应征的应提交所有联合体成员共同签署的“设计联合体协议书”，并明确牵头设计的主体(需加盖联合体所有成员公章或签字)，牵头单位工作份额不低于50%。</w:t>
      </w:r>
    </w:p>
    <w:p>
      <w:pPr>
        <w:pStyle w:val="14"/>
        <w:spacing w:line="54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应征表：另附有效的营业执照(或工商登记证明)、企业资质证明文件 (如有)、获奖文件(如有)(联合体各方均需填写并提供相关复印件，加盖公章，设计机构无公章的需提供签名等具有同等效力的文件) 。</w:t>
      </w:r>
    </w:p>
    <w:p>
      <w:pPr>
        <w:pStyle w:val="14"/>
        <w:spacing w:line="54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参与设计人员总表。</w:t>
      </w:r>
    </w:p>
    <w:p>
      <w:pPr>
        <w:pStyle w:val="7"/>
        <w:spacing w:beforeAutospacing="0" w:afterAutospacing="0" w:line="540" w:lineRule="exact"/>
        <w:ind w:firstLine="640" w:firstLineChars="200"/>
        <w:jc w:val="both"/>
        <w:outlineLvl w:val="0"/>
        <w:rPr>
          <w:rFonts w:ascii="楷体" w:hAnsi="楷体" w:eastAsia="楷体" w:cs="楷体"/>
          <w:sz w:val="32"/>
        </w:rPr>
      </w:pPr>
      <w:r>
        <w:rPr>
          <w:rFonts w:hint="eastAsia" w:ascii="楷体" w:hAnsi="楷体" w:eastAsia="楷体" w:cs="楷体"/>
          <w:sz w:val="32"/>
        </w:rPr>
        <w:t xml:space="preserve">（七）日程安排 </w:t>
      </w:r>
    </w:p>
    <w:p>
      <w:pPr>
        <w:pStyle w:val="7"/>
        <w:spacing w:beforeAutospacing="0" w:afterAutospacing="0" w:line="540" w:lineRule="exact"/>
        <w:ind w:firstLine="640" w:firstLineChars="200"/>
        <w:jc w:val="both"/>
        <w:outlineLvl w:val="0"/>
        <w:rPr>
          <w:rFonts w:ascii="仿宋_GB2312" w:hAnsi="仿宋_GB2312" w:eastAsia="仿宋_GB2312" w:cs="仿宋_GB2312"/>
          <w:bCs/>
          <w:sz w:val="32"/>
          <w:szCs w:val="36"/>
        </w:rPr>
      </w:pPr>
      <w:r>
        <w:rPr>
          <w:rFonts w:hint="eastAsia" w:ascii="仿宋_GB2312" w:hAnsi="仿宋_GB2312" w:eastAsia="仿宋_GB2312" w:cs="仿宋_GB2312"/>
          <w:sz w:val="32"/>
        </w:rPr>
        <w:t>详见任务书。</w:t>
      </w:r>
      <w:bookmarkStart w:id="0" w:name="_GoBack"/>
      <w:bookmarkEnd w:id="0"/>
    </w:p>
    <w:p>
      <w:pPr>
        <w:spacing w:line="540" w:lineRule="exact"/>
        <w:ind w:firstLine="640" w:firstLineChars="200"/>
        <w:rPr>
          <w:rFonts w:ascii="楷体" w:hAnsi="楷体" w:eastAsia="楷体" w:cs="楷体"/>
          <w:sz w:val="32"/>
        </w:rPr>
      </w:pPr>
      <w:r>
        <w:rPr>
          <w:rFonts w:hint="eastAsia" w:ascii="楷体" w:hAnsi="楷体" w:eastAsia="楷体" w:cs="楷体"/>
          <w:sz w:val="32"/>
        </w:rPr>
        <w:t>（八）关于版权及其他</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1.应征文件必须具有完整的著作权，不得侵犯他人著作权，若有侵权等违法行为，由应征人承担一切责任。</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2.中选方案知识产权归征集人所有，同时征集人具有全部使用权和修改权。</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3.本次征集活动本身及与本次活动相关的文件所适用的法律和法规仅为中华人民共和国的法律和法规。</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4.中选单位（即编制中选方案的应征单位）需按照征集人及政府相关部门要求对中选方案进行修改、完善等工作，并承担本项目设计方案优化服务，以及项目实施期的总控咨询服务，配合做好初步设计、施工图设计期间及施工期间对创意理念、设计效果专业性的把控和服务。</w:t>
      </w:r>
    </w:p>
    <w:p>
      <w:pPr>
        <w:pStyle w:val="14"/>
        <w:spacing w:line="540" w:lineRule="exact"/>
        <w:ind w:firstLine="640"/>
        <w:rPr>
          <w:rFonts w:ascii="仿宋_GB2312" w:hAnsi="仿宋_GB2312" w:eastAsia="仿宋_GB2312" w:cs="仿宋_GB2312"/>
          <w:sz w:val="32"/>
        </w:rPr>
      </w:pP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联系邮箱： zbcgb2024@163.com</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联系人：张老师</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联系电话：028-85286817</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地址：武侯区智星二路99号武侯发展大厦</w:t>
      </w:r>
    </w:p>
    <w:p>
      <w:pPr>
        <w:pStyle w:val="14"/>
        <w:spacing w:line="540" w:lineRule="exact"/>
        <w:ind w:firstLine="640"/>
        <w:rPr>
          <w:rFonts w:ascii="仿宋_GB2312" w:hAnsi="仿宋_GB2312" w:eastAsia="仿宋_GB2312" w:cs="仿宋_GB2312"/>
          <w:sz w:val="32"/>
        </w:rPr>
      </w:pPr>
      <w:r>
        <w:rPr>
          <w:rFonts w:hint="eastAsia" w:ascii="仿宋_GB2312" w:hAnsi="仿宋_GB2312" w:eastAsia="仿宋_GB2312" w:cs="仿宋_GB2312"/>
          <w:sz w:val="32"/>
        </w:rPr>
        <w:t>附件：详见任务书</w:t>
      </w:r>
    </w:p>
    <w:p>
      <w:pPr>
        <w:spacing w:line="540" w:lineRule="exact"/>
        <w:ind w:firstLine="640" w:firstLineChars="200"/>
        <w:rPr>
          <w:rFonts w:ascii="仿宋_GB2312" w:hAnsi="仿宋_GB2312" w:eastAsia="仿宋_GB2312" w:cs="仿宋_GB2312"/>
          <w:sz w:val="32"/>
        </w:rPr>
      </w:pPr>
    </w:p>
    <w:p>
      <w:pPr>
        <w:spacing w:line="54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VlOWJkZGEwOGIxN2Y5OWM2YmVhYjViZDA4OTFkNWYifQ=="/>
    <w:docVar w:name="KSO_WPS_MARK_KEY" w:val="0b56e77a-a241-48ff-b093-de766bdb2675"/>
  </w:docVars>
  <w:rsids>
    <w:rsidRoot w:val="006B24EE"/>
    <w:rsid w:val="00003AE3"/>
    <w:rsid w:val="0002392F"/>
    <w:rsid w:val="00116988"/>
    <w:rsid w:val="0019017F"/>
    <w:rsid w:val="001C187A"/>
    <w:rsid w:val="001F48E1"/>
    <w:rsid w:val="00206745"/>
    <w:rsid w:val="0046429C"/>
    <w:rsid w:val="004F39EE"/>
    <w:rsid w:val="004F3EAD"/>
    <w:rsid w:val="006B24EE"/>
    <w:rsid w:val="007150A6"/>
    <w:rsid w:val="00715446"/>
    <w:rsid w:val="007A0D36"/>
    <w:rsid w:val="008346C5"/>
    <w:rsid w:val="0087000A"/>
    <w:rsid w:val="008C67C2"/>
    <w:rsid w:val="008E79EE"/>
    <w:rsid w:val="00956E06"/>
    <w:rsid w:val="00984C51"/>
    <w:rsid w:val="009F6AFE"/>
    <w:rsid w:val="00A12D13"/>
    <w:rsid w:val="00A72FC8"/>
    <w:rsid w:val="00AF28B6"/>
    <w:rsid w:val="00B77618"/>
    <w:rsid w:val="00B949B7"/>
    <w:rsid w:val="00BE3621"/>
    <w:rsid w:val="00CA2F2F"/>
    <w:rsid w:val="00DE35E4"/>
    <w:rsid w:val="00E56DFB"/>
    <w:rsid w:val="00E838B2"/>
    <w:rsid w:val="00F12090"/>
    <w:rsid w:val="00F320E3"/>
    <w:rsid w:val="00F666BF"/>
    <w:rsid w:val="00F867A9"/>
    <w:rsid w:val="0F32131E"/>
    <w:rsid w:val="12681311"/>
    <w:rsid w:val="18C82B09"/>
    <w:rsid w:val="1CA2478F"/>
    <w:rsid w:val="241A7B2A"/>
    <w:rsid w:val="24B0046B"/>
    <w:rsid w:val="2E5476B8"/>
    <w:rsid w:val="35AF56F4"/>
    <w:rsid w:val="4B7801F5"/>
    <w:rsid w:val="5C1E3DBB"/>
    <w:rsid w:val="5E9B16F3"/>
    <w:rsid w:val="657E6360"/>
    <w:rsid w:val="6B5F5009"/>
    <w:rsid w:val="74EC4F40"/>
    <w:rsid w:val="7FAC0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0" w:lineRule="exact"/>
      <w:jc w:val="both"/>
    </w:pPr>
    <w:rPr>
      <w:rFonts w:ascii="Times New Roman" w:hAnsi="Times New Roman" w:eastAsia="宋体" w:cs="Times New Roman"/>
      <w:kern w:val="2"/>
      <w:sz w:val="21"/>
      <w:szCs w:val="24"/>
      <w:lang w:val="en-US" w:eastAsia="zh-CN" w:bidi="ar-SA"/>
    </w:rPr>
  </w:style>
  <w:style w:type="paragraph" w:styleId="2">
    <w:name w:val="heading 4"/>
    <w:basedOn w:val="1"/>
    <w:next w:val="1"/>
    <w:link w:val="15"/>
    <w:qFormat/>
    <w:uiPriority w:val="0"/>
    <w:pPr>
      <w:keepNext/>
      <w:keepLines/>
      <w:widowControl w:val="0"/>
      <w:spacing w:before="280" w:after="290" w:line="374" w:lineRule="auto"/>
      <w:outlineLvl w:val="3"/>
    </w:pPr>
    <w:rPr>
      <w:rFonts w:ascii="Arial" w:hAnsi="Arial" w:eastAsia="黑体" w:cstheme="minorBidi"/>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6"/>
    <w:semiHidden/>
    <w:unhideWhenUsed/>
    <w:qFormat/>
    <w:uiPriority w:val="99"/>
    <w:pPr>
      <w:spacing w:line="240" w:lineRule="auto"/>
    </w:pPr>
    <w:rPr>
      <w:sz w:val="18"/>
      <w:szCs w:val="18"/>
    </w:rPr>
  </w:style>
  <w:style w:type="paragraph" w:styleId="5">
    <w:name w:val="footer"/>
    <w:basedOn w:val="1"/>
    <w:link w:val="13"/>
    <w:unhideWhenUsed/>
    <w:qFormat/>
    <w:uiPriority w:val="99"/>
    <w:pPr>
      <w:widowControl w:val="0"/>
      <w:tabs>
        <w:tab w:val="center" w:pos="4153"/>
        <w:tab w:val="right" w:pos="8306"/>
      </w:tabs>
      <w:snapToGrid w:val="0"/>
      <w:spacing w:line="240" w:lineRule="auto"/>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paragraph" w:styleId="7">
    <w:name w:val="Normal (Web)"/>
    <w:basedOn w:val="1"/>
    <w:qFormat/>
    <w:uiPriority w:val="99"/>
    <w:pPr>
      <w:spacing w:beforeAutospacing="1" w:afterAutospacing="1"/>
      <w:ind w:firstLine="386"/>
      <w:jc w:val="left"/>
    </w:pPr>
    <w:rPr>
      <w:rFonts w:asciiTheme="minorHAnsi" w:hAnsiTheme="minorHAnsi" w:eastAsiaTheme="minorEastAsia"/>
      <w:kern w:val="0"/>
      <w:sz w:val="24"/>
    </w:rPr>
  </w:style>
  <w:style w:type="paragraph" w:styleId="8">
    <w:name w:val="annotation subject"/>
    <w:basedOn w:val="3"/>
    <w:next w:val="3"/>
    <w:link w:val="18"/>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paragraph" w:styleId="14">
    <w:name w:val="List Paragraph"/>
    <w:basedOn w:val="1"/>
    <w:qFormat/>
    <w:uiPriority w:val="99"/>
    <w:pPr>
      <w:ind w:firstLine="420" w:firstLineChars="200"/>
    </w:pPr>
    <w:rPr>
      <w:rFonts w:asciiTheme="minorHAnsi" w:hAnsiTheme="minorHAnsi" w:eastAsiaTheme="minorEastAsia" w:cstheme="minorBidi"/>
    </w:rPr>
  </w:style>
  <w:style w:type="character" w:customStyle="1" w:styleId="15">
    <w:name w:val="标题 4 Char"/>
    <w:basedOn w:val="10"/>
    <w:link w:val="2"/>
    <w:qFormat/>
    <w:uiPriority w:val="0"/>
    <w:rPr>
      <w:rFonts w:ascii="Arial" w:hAnsi="Arial" w:eastAsia="黑体"/>
      <w:b/>
      <w:bCs/>
      <w:sz w:val="28"/>
      <w:szCs w:val="28"/>
    </w:rPr>
  </w:style>
  <w:style w:type="character" w:customStyle="1" w:styleId="16">
    <w:name w:val="批注框文本 Char"/>
    <w:basedOn w:val="10"/>
    <w:link w:val="4"/>
    <w:semiHidden/>
    <w:qFormat/>
    <w:uiPriority w:val="99"/>
    <w:rPr>
      <w:rFonts w:ascii="Times New Roman" w:hAnsi="Times New Roman" w:eastAsia="宋体" w:cs="Times New Roman"/>
      <w:kern w:val="2"/>
      <w:sz w:val="18"/>
      <w:szCs w:val="18"/>
    </w:rPr>
  </w:style>
  <w:style w:type="character" w:customStyle="1" w:styleId="17">
    <w:name w:val="批注文字 Char"/>
    <w:basedOn w:val="10"/>
    <w:link w:val="3"/>
    <w:semiHidden/>
    <w:qFormat/>
    <w:uiPriority w:val="99"/>
    <w:rPr>
      <w:rFonts w:ascii="Times New Roman" w:hAnsi="Times New Roman" w:eastAsia="宋体" w:cs="Times New Roman"/>
      <w:kern w:val="2"/>
      <w:sz w:val="21"/>
      <w:szCs w:val="24"/>
    </w:rPr>
  </w:style>
  <w:style w:type="character" w:customStyle="1" w:styleId="18">
    <w:name w:val="批注主题 Char"/>
    <w:basedOn w:val="17"/>
    <w:link w:val="8"/>
    <w:semiHidden/>
    <w:qFormat/>
    <w:uiPriority w:val="99"/>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273</Words>
  <Characters>1562</Characters>
  <Lines>13</Lines>
  <Paragraphs>3</Paragraphs>
  <TotalTime>191</TotalTime>
  <ScaleCrop>false</ScaleCrop>
  <LinksUpToDate>false</LinksUpToDate>
  <CharactersWithSpaces>1832</CharactersWithSpaces>
  <Application>WPS Office_11.1.0.14246_F1E327BC-269C-435d-A152-05C5408002CA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2024-06-28T03:27:00Z</dcterms:created>
  <dc:creator>shcwin</dc:creator>
  <cp:lastModifiedBy>张婷</cp:lastModifiedBy>
  <dcterms:modified xsi:type="dcterms:W3CDTF">2024-07-04T05:36:50Z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2052-11.1.0.14246</vt:lpwstr>
  </property>
  <property fmtid="{D5CDD505-2E9C-101B-9397-08002B2CF9AE}" pid="3" name="ICV">
    <vt:lpwstr>EF6F3FF3456843D18C8A2D1EEB299426_12</vt:lpwstr>
  </property>
</Properties>
</file>