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firstLine="0" w:firstLineChars="0"/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default" w:ascii="宋体" w:hAnsi="宋体" w:eastAsia="宋体" w:cs="宋体"/>
          <w:b/>
          <w:bCs/>
          <w:color w:val="000000" w:themeColor="text1"/>
          <w:sz w:val="36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b/>
          <w:bCs/>
          <w:color w:val="000000" w:themeColor="text1"/>
          <w:sz w:val="36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万邦文化商务中心建筑设计</w:t>
      </w:r>
    </w:p>
    <w:p>
      <w:pPr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both"/>
        <w:rPr>
          <w:rFonts w:hint="eastAsia" w:ascii="黑体" w:hAnsi="黑体" w:eastAsia="黑体" w:cs="黑体"/>
          <w:b/>
          <w:bCs/>
          <w:color w:val="000000" w:themeColor="text1"/>
          <w:sz w:val="72"/>
          <w:szCs w:val="72"/>
          <w:highlight w:val="none"/>
          <w:lang w:val="zh-CN"/>
          <w14:textFill>
            <w14:solidFill>
              <w14:schemeClr w14:val="tx1"/>
            </w14:solidFill>
          </w14:textFill>
        </w:rPr>
      </w:pPr>
    </w:p>
    <w:p>
      <w:pPr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黑体" w:hAnsi="黑体" w:eastAsia="黑体" w:cs="黑体"/>
          <w:b/>
          <w:bCs/>
          <w:color w:val="000000" w:themeColor="text1"/>
          <w:sz w:val="72"/>
          <w:szCs w:val="72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72"/>
          <w:szCs w:val="72"/>
          <w:highlight w:val="none"/>
          <w:lang w:val="zh-CN"/>
          <w14:textFill>
            <w14:solidFill>
              <w14:schemeClr w14:val="tx1"/>
            </w14:solidFill>
          </w14:textFill>
        </w:rPr>
        <w:t>任 务 书</w:t>
      </w:r>
    </w:p>
    <w:p>
      <w:pPr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黑体" w:hAnsi="黑体" w:eastAsia="黑体" w:cs="黑体"/>
          <w:b/>
          <w:bCs/>
          <w:color w:val="000000" w:themeColor="text1"/>
          <w:sz w:val="72"/>
          <w:szCs w:val="72"/>
          <w:highlight w:val="none"/>
          <w:lang w:val="zh-CN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firstLine="0" w:firstLineChars="0"/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>
      <w:pPr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</w:p>
    <w:p>
      <w:pPr>
        <w:pStyle w:val="2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>
      <w:pPr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</w:p>
    <w:p>
      <w:pPr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ind w:firstLine="2108" w:firstLineChars="700"/>
        <w:jc w:val="both"/>
        <w:rPr>
          <w:rFonts w:hint="default" w:ascii="宋体" w:hAnsi="宋体" w:eastAsia="宋体" w:cs="宋体"/>
          <w:b/>
          <w:bCs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建设单位：</w:t>
      </w:r>
      <w:r>
        <w:rPr>
          <w:rFonts w:hint="eastAsia" w:ascii="宋体" w:hAnsi="宋体" w:cs="宋体"/>
          <w:b/>
          <w:bCs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榆林市通运建筑材料有限公司</w:t>
      </w:r>
    </w:p>
    <w:p>
      <w:pPr>
        <w:pStyle w:val="2"/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>
      <w:pPr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ind w:firstLine="2108" w:firstLineChars="700"/>
        <w:jc w:val="both"/>
        <w:rPr>
          <w:rFonts w:hint="eastAsia" w:ascii="宋体" w:hAnsi="宋体" w:eastAsia="宋体" w:cs="宋体"/>
          <w:b/>
          <w:bCs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时    间：202</w:t>
      </w:r>
      <w:r>
        <w:rPr>
          <w:rFonts w:hint="eastAsia" w:ascii="宋体" w:hAnsi="宋体" w:cs="宋体"/>
          <w:b/>
          <w:bCs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 w:cs="宋体"/>
          <w:b/>
          <w:bCs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cs="宋体"/>
          <w:b/>
          <w:bCs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b/>
          <w:bCs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cs="宋体"/>
          <w:b/>
          <w:bCs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宋体" w:hAnsi="宋体" w:eastAsia="宋体" w:cs="宋体"/>
          <w:b/>
          <w:bCs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日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firstLine="0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jc w:val="center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sectPr>
          <w:headerReference r:id="rId3" w:type="default"/>
          <w:pgSz w:w="11906" w:h="16838"/>
          <w:pgMar w:top="1417" w:right="1418" w:bottom="1141" w:left="1418" w:header="851" w:footer="992" w:gutter="0"/>
          <w:pgNumType w:fmt="decimal" w:start="1"/>
          <w:cols w:space="720" w:num="1"/>
          <w:titlePg/>
          <w:docGrid w:linePitch="312" w:charSpace="0"/>
        </w:sectPr>
      </w:pPr>
      <w:bookmarkStart w:id="0" w:name="_GoBack"/>
      <w:bookmarkEnd w:id="0"/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jc w:val="center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第一节 项目概况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jc w:val="both"/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1.建设单位：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榆林市通运建筑材料有限公司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0" w:lineRule="exact"/>
        <w:ind w:firstLine="562" w:firstLineChars="20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2.项目名称：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万邦文化商务中心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建筑设计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jc w:val="both"/>
        <w:textAlignment w:val="baseline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3.用地位置：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榆林中心城区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高新区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光明路南、开源大道西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0" w:lineRule="exact"/>
        <w:ind w:left="0" w:leftChars="0" w:firstLine="562" w:firstLineChars="200"/>
        <w:rPr>
          <w:rFonts w:hint="eastAsia" w:ascii="宋体" w:hAnsi="宋体" w:eastAsia="宋体" w:cs="宋体"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4.规划背景：</w:t>
      </w:r>
      <w:r>
        <w:rPr>
          <w:rFonts w:hint="eastAsia" w:ascii="宋体" w:hAnsi="宋体" w:eastAsia="宋体" w:cs="宋体"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项目位于榆林中心城区</w:t>
      </w:r>
      <w:r>
        <w:rPr>
          <w:rFonts w:hint="eastAsia" w:ascii="宋体" w:hAnsi="宋体" w:cs="宋体"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未来</w:t>
      </w:r>
      <w:r>
        <w:rPr>
          <w:rFonts w:hint="eastAsia" w:ascii="宋体" w:hAnsi="宋体" w:cs="宋体"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最重要的城市门户—</w:t>
      </w:r>
      <w:r>
        <w:rPr>
          <w:rFonts w:hint="eastAsia" w:ascii="宋体" w:hAnsi="宋体" w:eastAsia="宋体" w:cs="宋体"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高铁</w:t>
      </w:r>
      <w:r>
        <w:rPr>
          <w:rFonts w:hint="eastAsia" w:ascii="宋体" w:hAnsi="宋体" w:eastAsia="宋体" w:cs="宋体"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商务区，该区域横跨高新</w:t>
      </w:r>
      <w:r>
        <w:rPr>
          <w:rFonts w:hint="eastAsia" w:ascii="宋体" w:hAnsi="宋体" w:cs="宋体"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南区</w:t>
      </w:r>
      <w:r>
        <w:rPr>
          <w:rFonts w:hint="eastAsia" w:ascii="宋体" w:hAnsi="宋体" w:eastAsia="宋体" w:cs="宋体"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及科创新城，东邻榆溪河生态</w:t>
      </w:r>
      <w:r>
        <w:rPr>
          <w:rFonts w:hint="eastAsia" w:ascii="宋体" w:hAnsi="宋体" w:cs="宋体"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未来最重要</w:t>
      </w:r>
      <w:r>
        <w:rPr>
          <w:rFonts w:hint="eastAsia" w:ascii="宋体" w:hAnsi="宋体" w:eastAsia="宋体" w:cs="宋体"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长廊，包西铁路纵穿规划范围，范围面积约4.5平方公里。片区定位为推进榆林引领区域协同发展的综合服务新中心、驱动新区产城融合城市跃迁的新能极、展示榆林城市时代形象的新门户。功能定位为以高铁枢纽为核心，融合商业娱乐、商务金融、高端物流、科创文化、宜居社区多元功能，构建高端服务业与城市服务业协同发展格局，打造“秦关京韵、山水驼城”特色风貌，代言城市新形象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Fonts w:hint="eastAsia" w:ascii="宋体" w:hAnsi="宋体" w:eastAsia="宋体" w:cs="宋体"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项目</w:t>
      </w:r>
      <w:r>
        <w:rPr>
          <w:rStyle w:val="12"/>
          <w:rFonts w:hint="eastAsia" w:ascii="宋体" w:hAnsi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用地</w:t>
      </w:r>
      <w:r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处于</w:t>
      </w:r>
      <w:r>
        <w:rPr>
          <w:rStyle w:val="12"/>
          <w:rFonts w:hint="eastAsia" w:ascii="宋体" w:hAnsi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高铁商务区</w:t>
      </w:r>
      <w:r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东西向轴线</w:t>
      </w:r>
      <w:r>
        <w:rPr>
          <w:rStyle w:val="12"/>
          <w:rFonts w:hint="eastAsia" w:ascii="宋体" w:hAnsi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东端，</w:t>
      </w:r>
      <w:r>
        <w:rPr>
          <w:rStyle w:val="12"/>
          <w:rFonts w:hint="eastAsia" w:ascii="宋体" w:hAnsi="宋体" w:cs="宋体"/>
          <w:color w:val="000000" w:themeColor="text1"/>
          <w:sz w:val="28"/>
          <w:szCs w:val="28"/>
          <w:highlight w:val="none"/>
          <w:lang w:val="en-US"/>
          <w14:textFill>
            <w14:solidFill>
              <w14:schemeClr w14:val="tx1"/>
            </w14:solidFill>
          </w14:textFill>
        </w:rPr>
        <w:t>距高铁枢纽约350米，</w:t>
      </w:r>
      <w:r>
        <w:rPr>
          <w:rStyle w:val="12"/>
          <w:rFonts w:hint="eastAsia" w:ascii="宋体" w:hAnsi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是</w:t>
      </w:r>
      <w:r>
        <w:rPr>
          <w:rStyle w:val="12"/>
          <w:rFonts w:hint="eastAsia" w:ascii="宋体" w:hAnsi="宋体" w:cs="宋体"/>
          <w:color w:val="000000" w:themeColor="text1"/>
          <w:sz w:val="28"/>
          <w:szCs w:val="28"/>
          <w:highlight w:val="none"/>
          <w:lang w:val="en-US"/>
          <w14:textFill>
            <w14:solidFill>
              <w14:schemeClr w14:val="tx1"/>
            </w14:solidFill>
          </w14:textFill>
        </w:rPr>
        <w:t>商务区东部区域的核心景观节点</w:t>
      </w:r>
      <w:r>
        <w:rPr>
          <w:rStyle w:val="12"/>
          <w:rFonts w:hint="eastAsia" w:ascii="宋体" w:hAnsi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。目前高铁枢纽和站前区域的建设已经启动，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万邦文化商务中心</w:t>
      </w:r>
      <w:r>
        <w:rPr>
          <w:rFonts w:hint="eastAsia" w:ascii="宋体" w:hAnsi="宋体" w:cs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作为首批实施的</w:t>
      </w:r>
      <w:r>
        <w:rPr>
          <w:rStyle w:val="12"/>
          <w:rFonts w:hint="eastAsia" w:ascii="宋体" w:hAnsi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</w:t>
      </w:r>
      <w:r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对于强化城市核心、延伸轴线序列、塑造新城城市形象有重要意义</w:t>
      </w:r>
      <w:r>
        <w:rPr>
          <w:rStyle w:val="12"/>
          <w:rFonts w:hint="eastAsia" w:ascii="宋体" w:hAnsi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jc w:val="both"/>
        <w:textAlignment w:val="baseline"/>
        <w:rPr>
          <w:rFonts w:hint="eastAsia" w:ascii="宋体" w:hAnsi="宋体" w:cs="宋体"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项目定位：</w:t>
      </w:r>
      <w:r>
        <w:rPr>
          <w:rFonts w:hint="eastAsia" w:ascii="宋体" w:hAnsi="宋体" w:eastAsia="宋体" w:cs="宋体"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高铁商务区</w:t>
      </w:r>
      <w:r>
        <w:rPr>
          <w:rFonts w:hint="eastAsia" w:ascii="宋体" w:hAnsi="宋体" w:cs="宋体"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核心位置和景观节点的文化商业地标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jc w:val="both"/>
        <w:textAlignment w:val="baseline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四至及用地情况：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总用地面积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23254.663平方米（</w:t>
      </w:r>
      <w:r>
        <w:rPr>
          <w:rFonts w:hint="eastAsia" w:ascii="宋体" w:hAnsi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约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34.88亩）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形态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呈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长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方形，地势平坦。用地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北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至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光明路（</w:t>
      </w:r>
      <w:r>
        <w:rPr>
          <w:rFonts w:hint="eastAsia" w:ascii="宋体" w:hAnsi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规划高铁站前景观大道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断面为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16米、宽44米公园绿地、16米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，路北现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状为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拟拆4S店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，规划为公园绿地；西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至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太昌路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规划路，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红线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米）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路西现状为空地，规划为商业商务混合用地；南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至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光华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  <w:t>路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规划路，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红线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16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米）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路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南现状为空地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、道路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，规划为居住商业混合用地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东至用地边界，东侧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公园绿地（宽20米）、开源大道（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城市重要的南北向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主干路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红线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80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米）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；详见地形图、《榆林市建设用地规划条件报告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地形图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2" w:firstLineChars="200"/>
        <w:jc w:val="both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.规划指标：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总用地面积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23254.663平方米（34.88亩）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pacing w:val="-4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容积率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R≤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3.31</w:t>
      </w:r>
      <w:r>
        <w:rPr>
          <w:rFonts w:hint="eastAsia" w:ascii="宋体" w:hAnsi="宋体" w:eastAsia="宋体" w:cs="宋体"/>
          <w:color w:val="000000" w:themeColor="text1"/>
          <w:spacing w:val="-4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建筑密度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≤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38.28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%，绿地率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≥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25.15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%，计容建筑面积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≤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77054.928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平方米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由两个地块组成,西侧地块（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GX-0502-17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）:用途商业（非服务型公寓、非加油加气站），用地面积</w:t>
      </w:r>
      <w:r>
        <w:rPr>
          <w:rFonts w:hint="eastAsia" w:ascii="宋体" w:hAnsi="宋体" w:eastAsia="宋体" w:cs="宋体"/>
          <w:color w:val="000000" w:themeColor="text1"/>
          <w:spacing w:val="-4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15272.80</w:t>
      </w:r>
      <w:r>
        <w:rPr>
          <w:rFonts w:hint="eastAsia" w:ascii="宋体" w:hAnsi="宋体" w:eastAsia="宋体" w:cs="宋体"/>
          <w:color w:val="000000" w:themeColor="text1"/>
          <w:spacing w:val="-4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1平方米，容积率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R≤4.0</w:t>
      </w:r>
      <w:r>
        <w:rPr>
          <w:rFonts w:hint="eastAsia" w:ascii="宋体" w:hAnsi="宋体" w:eastAsia="宋体" w:cs="宋体"/>
          <w:color w:val="000000" w:themeColor="text1"/>
          <w:spacing w:val="-4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建筑密度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≤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40%，绿地率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≥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20%，限高80米，计容建筑面积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≤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61091.204平方米；东侧地块（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GX-0502-18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）：用途文化，用地面积</w:t>
      </w:r>
      <w:r>
        <w:rPr>
          <w:rFonts w:hint="eastAsia" w:ascii="宋体" w:hAnsi="宋体" w:eastAsia="宋体" w:cs="宋体"/>
          <w:color w:val="000000" w:themeColor="text1"/>
          <w:spacing w:val="-4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7981.862</w:t>
      </w:r>
      <w:r>
        <w:rPr>
          <w:rFonts w:hint="eastAsia" w:ascii="宋体" w:hAnsi="宋体" w:eastAsia="宋体" w:cs="宋体"/>
          <w:color w:val="000000" w:themeColor="text1"/>
          <w:spacing w:val="-4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平方米，容积率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1.2≤R≤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2.0</w:t>
      </w:r>
      <w:r>
        <w:rPr>
          <w:rFonts w:hint="eastAsia" w:ascii="宋体" w:hAnsi="宋体" w:eastAsia="宋体" w:cs="宋体"/>
          <w:color w:val="000000" w:themeColor="text1"/>
          <w:spacing w:val="-4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建筑密度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≤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35%，绿地率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≥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35%，计容建筑面积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≤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15963.724平方米，且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≥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9578.234平方米。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本宗地位于高铁商务区站前区域的核心位置，是城市西门户建设的关键节点，用地边界，建筑密度、绿地率指标可按建设工程设计方案竞选结果进行优化。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0" w:lineRule="exact"/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建设内容和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规模：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jc w:val="both"/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8.1西侧地块主要建设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商务办公、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酒店、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商业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建筑面积</w:t>
      </w:r>
      <w:r>
        <w:rPr>
          <w:rFonts w:hint="eastAsia" w:ascii="宋体" w:hAnsi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比约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60%、25%、15%，可根据方案适当调整</w:t>
      </w:r>
      <w:r>
        <w:rPr>
          <w:rFonts w:hint="eastAsia" w:ascii="宋体" w:hAnsi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。办公拟导入央企总部及银行等金融机构，可租可售；酒店拟引入精品酒店品牌（如全季、亚朵），需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含住宿、会议中心、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餐饮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全日制自助餐厅、</w:t>
      </w:r>
      <w:r>
        <w:rPr>
          <w:rFonts w:hint="eastAsia" w:ascii="宋体" w:hAnsi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配套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商业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等；</w:t>
      </w:r>
      <w:r>
        <w:rPr>
          <w:rFonts w:hint="eastAsia" w:ascii="宋体" w:hAnsi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商业拟打造为综合商超；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jc w:val="both"/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8.2东侧文化用地</w:t>
      </w:r>
      <w:r>
        <w:rPr>
          <w:rFonts w:hint="eastAsia" w:ascii="宋体" w:hAnsi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建设集文化艺术展览、科技体验、青少年活动、公共剧场等内容的综合文化活动中心；</w:t>
      </w:r>
    </w:p>
    <w:p>
      <w:pPr>
        <w:pStyle w:val="3"/>
        <w:keepNext w:val="0"/>
        <w:keepLines w:val="0"/>
        <w:pageBreakBefore w:val="0"/>
        <w:widowControl w:val="0"/>
        <w:tabs>
          <w:tab w:val="left" w:pos="5670"/>
        </w:tabs>
        <w:kinsoku/>
        <w:wordWrap/>
        <w:overflowPunct/>
        <w:topLinePunct w:val="0"/>
        <w:autoSpaceDE/>
        <w:autoSpaceDN/>
        <w:bidi w:val="0"/>
        <w:adjustRightInd/>
        <w:spacing w:line="580" w:lineRule="exact"/>
        <w:ind w:firstLine="560"/>
        <w:jc w:val="both"/>
        <w:outlineLvl w:val="1"/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8.3</w:t>
      </w:r>
      <w:r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/>
          <w14:textFill>
            <w14:solidFill>
              <w14:schemeClr w14:val="tx1"/>
            </w14:solidFill>
          </w14:textFill>
        </w:rPr>
        <w:t>地下为车库、人防及相关配套设施</w:t>
      </w:r>
      <w:r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等。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jc w:val="both"/>
        <w:rPr>
          <w:rStyle w:val="16"/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16"/>
          <w:rFonts w:hint="eastAsia" w:ascii="宋体" w:hAnsi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Style w:val="16"/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.设计要求：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jc w:val="both"/>
        <w:rPr>
          <w:rStyle w:val="12"/>
          <w:rFonts w:hint="default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9.1</w:t>
      </w:r>
      <w:r>
        <w:rPr>
          <w:rStyle w:val="12"/>
          <w:rFonts w:hint="eastAsia" w:ascii="宋体" w:hAnsi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按照用地规划条件及建设内容，参考成功案例，可对项目的定位、功能、业态等进行研究并给出实施建议；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Style w:val="12"/>
          <w:rFonts w:hint="eastAsia" w:ascii="宋体" w:hAnsi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9.2</w:t>
      </w:r>
      <w:r>
        <w:rPr>
          <w:rStyle w:val="12"/>
          <w:rFonts w:hint="eastAsia" w:ascii="宋体" w:hAnsi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综合考虑重要区位、项目定位、城市形象、建筑功能、实际运营等因素，打造城市门户区重要节点的文化商业地标；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jc w:val="both"/>
        <w:textAlignment w:val="baseline"/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12"/>
          <w:rFonts w:hint="eastAsia" w:ascii="宋体" w:hAnsi="宋体" w:cs="宋体"/>
          <w:color w:val="000000" w:themeColor="text1"/>
          <w:sz w:val="28"/>
          <w:szCs w:val="28"/>
          <w:highlight w:val="none"/>
          <w:lang w:val="en-US"/>
          <w14:textFill>
            <w14:solidFill>
              <w14:schemeClr w14:val="tx1"/>
            </w14:solidFill>
          </w14:textFill>
        </w:rPr>
        <w:t>9.3设计需考虑与高铁枢纽形象的关系</w:t>
      </w:r>
      <w:r>
        <w:rPr>
          <w:rFonts w:hint="eastAsia" w:ascii="宋体" w:hAnsi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两条</w:t>
      </w:r>
      <w:r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/>
          <w14:textFill>
            <w14:solidFill>
              <w14:schemeClr w14:val="tx1"/>
            </w14:solidFill>
          </w14:textFill>
        </w:rPr>
        <w:t>重要</w:t>
      </w:r>
      <w:r>
        <w:rPr>
          <w:rStyle w:val="12"/>
          <w:rFonts w:hint="eastAsia" w:ascii="宋体" w:hAnsi="宋体" w:cs="宋体"/>
          <w:color w:val="000000" w:themeColor="text1"/>
          <w:sz w:val="28"/>
          <w:szCs w:val="28"/>
          <w:highlight w:val="none"/>
          <w:lang w:val="en-US"/>
          <w14:textFill>
            <w14:solidFill>
              <w14:schemeClr w14:val="tx1"/>
            </w14:solidFill>
          </w14:textFill>
        </w:rPr>
        <w:t>道</w:t>
      </w:r>
      <w:r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/>
          <w14:textFill>
            <w14:solidFill>
              <w14:schemeClr w14:val="tx1"/>
            </w14:solidFill>
          </w14:textFill>
        </w:rPr>
        <w:t>路</w:t>
      </w:r>
      <w:r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光明路、开源大道</w:t>
      </w:r>
      <w:r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）</w:t>
      </w:r>
      <w:r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/>
          <w14:textFill>
            <w14:solidFill>
              <w14:schemeClr w14:val="tx1"/>
            </w14:solidFill>
          </w14:textFill>
        </w:rPr>
        <w:t>车行</w:t>
      </w:r>
      <w:r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第一视觉、沿街建筑立面效果与街道景观，重视城市界面</w:t>
      </w:r>
      <w:r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/>
          <w14:textFill>
            <w14:solidFill>
              <w14:schemeClr w14:val="tx1"/>
            </w14:solidFill>
          </w14:textFill>
        </w:rPr>
        <w:t>和</w:t>
      </w:r>
      <w:r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城市天际线的</w:t>
      </w:r>
      <w:r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塑造</w:t>
      </w:r>
      <w:r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Style w:val="12"/>
          <w:rFonts w:hint="default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9.</w:t>
      </w:r>
      <w:r>
        <w:rPr>
          <w:rStyle w:val="12"/>
          <w:rFonts w:hint="eastAsia" w:ascii="宋体" w:hAnsi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合理</w:t>
      </w:r>
      <w:r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组织</w:t>
      </w:r>
      <w:r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交通，充分考虑出入口位置</w:t>
      </w:r>
      <w:r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人车流</w:t>
      </w:r>
      <w:r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线</w:t>
      </w:r>
      <w:r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等</w:t>
      </w:r>
      <w:r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注意高铁站人车流线和本项目的关系</w:t>
      </w:r>
      <w:r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Style w:val="12"/>
          <w:rFonts w:hint="default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9.</w:t>
      </w:r>
      <w:r>
        <w:rPr>
          <w:rStyle w:val="12"/>
          <w:rFonts w:hint="eastAsia" w:ascii="宋体" w:hAnsi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商业用地内高层建筑宜设置于地块西南角；鼓励文化用地的办公区域以错台形式，每层设有外露台，观景平台，设计体现人性化、创新化；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9.</w:t>
      </w:r>
      <w:r>
        <w:rPr>
          <w:rStyle w:val="12"/>
          <w:rFonts w:hint="eastAsia" w:ascii="宋体" w:hAnsi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考虑建筑结构设计的合理性、适应性、灵活性，运营模式的灵活性和可持续性，屋面设计满足私人</w:t>
      </w:r>
      <w:r>
        <w:rPr>
          <w:rStyle w:val="12"/>
          <w:rFonts w:hint="eastAsia" w:ascii="宋体" w:hAnsi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直升机</w:t>
      </w:r>
      <w:r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停机需求；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9.</w:t>
      </w:r>
      <w:r>
        <w:rPr>
          <w:rStyle w:val="12"/>
          <w:rFonts w:hint="eastAsia" w:ascii="宋体" w:hAnsi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充分考虑榆林文化特色及本地气候条件，保证建筑的在地性；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/>
          <w14:textFill>
            <w14:solidFill>
              <w14:schemeClr w14:val="tx1"/>
            </w14:solidFill>
          </w14:textFill>
        </w:rPr>
        <w:t>9</w:t>
      </w:r>
      <w:r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Style w:val="12"/>
          <w:rFonts w:hint="eastAsia" w:ascii="宋体" w:hAnsi="宋体" w:cs="宋体"/>
          <w:color w:val="000000" w:themeColor="text1"/>
          <w:sz w:val="28"/>
          <w:szCs w:val="28"/>
          <w:highlight w:val="none"/>
          <w:lang w:val="en-US"/>
          <w14:textFill>
            <w14:solidFill>
              <w14:schemeClr w14:val="tx1"/>
            </w14:solidFill>
          </w14:textFill>
        </w:rPr>
        <w:t>8</w:t>
      </w:r>
      <w:r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符合《榆林市城乡规划管理技术规定》《关于榆林中心城区建筑风貌管控的若干规定（试行）</w:t>
      </w:r>
      <w:r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zh-TW"/>
          <w14:textFill>
            <w14:solidFill>
              <w14:schemeClr w14:val="tx1"/>
            </w14:solidFill>
          </w14:textFill>
        </w:rPr>
        <w:t>》</w:t>
      </w:r>
      <w:r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《榆林市建设用地规划条件</w:t>
      </w:r>
      <w:r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报告</w:t>
      </w:r>
      <w:r>
        <w:rPr>
          <w:rStyle w:val="12"/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》及其他规定要求。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jc w:val="center"/>
        <w:rPr>
          <w:rStyle w:val="12"/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val="zh-TW"/>
          <w14:textFill>
            <w14:solidFill>
              <w14:schemeClr w14:val="tx1"/>
            </w14:solidFill>
          </w14:textFill>
        </w:rPr>
      </w:pPr>
      <w:r>
        <w:rPr>
          <w:rStyle w:val="12"/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val="zh-TW"/>
          <w14:textFill>
            <w14:solidFill>
              <w14:schemeClr w14:val="tx1"/>
            </w14:solidFill>
          </w14:textFill>
        </w:rPr>
        <w:t>第</w:t>
      </w:r>
      <w:r>
        <w:rPr>
          <w:rStyle w:val="12"/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二</w:t>
      </w:r>
      <w:r>
        <w:rPr>
          <w:rStyle w:val="12"/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val="zh-TW"/>
          <w14:textFill>
            <w14:solidFill>
              <w14:schemeClr w14:val="tx1"/>
            </w14:solidFill>
          </w14:textFill>
        </w:rPr>
        <w:t>节  设计成果要求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1.深度要求：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方案设计深度（平立剖面图、效果图）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2.成果文件要求：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2.1设计内容：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区位分析图(可附在用地现状图上)、现状分析图（市政条件、交通条件、周边用地对本地块影响等），总平面图，内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外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部交通分析，竖向分析，绿地景观分析，消防分析，主要单体建筑平面图、立面图（标明主要材料名称）、剖面图，设计说明，成本估算，反映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主要单体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建筑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各个立面、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空间效果、四邻关系及公共空间和街景环境的效果图、夜景图，其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它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需要说明的内容等；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2.2方案文本：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文本编制装订成册，简本（软皮，不大于60张，双面彩色打印），规格为A3，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本；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2.3展板：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包含总平面图（含指标）、效果图，规格为A1或可折叠为A1，3-6张；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设计方案提交资料可以不限于以上内容，竞选人可增加相关方案内容、图纸、多媒体（不超过5分钟）等资料。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3.电子文件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主要设计图纸采用CAD格式；文本采用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PPT和PDF两种格式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；效果图采用JPG图片格式。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全部设计图纸、文本文件、效果图刻录于U盘内，提交U盘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套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。</w:t>
      </w:r>
    </w:p>
    <w:sectPr>
      <w:footerReference r:id="rId5" w:type="first"/>
      <w:footerReference r:id="rId4" w:type="default"/>
      <w:pgSz w:w="11906" w:h="16838"/>
      <w:pgMar w:top="1417" w:right="1418" w:bottom="1141" w:left="1418" w:header="851" w:footer="992" w:gutter="0"/>
      <w:pgNumType w:fmt="decimal" w:start="1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  <w:p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M+L3UTQ&#10;AAAAAgEAAA8AAAAAAAAAAQAgAAAAIgAAAGRycy9kb3ducmV2LnhtbFBLAQIUABQAAAAIAIdO4kAq&#10;hX3Q7wEAALMDAAAOAAAAAAAAAAEAIAAAAB8BAABkcnMvZTJvRG9jLnhtbFBLBQYAAAAABgAGAFkB&#10;AACA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M+L3UTQ&#10;AAAAAgEAAA8AAAAAAAAAAQAgAAAAIgAAAGRycy9kb3ducmV2LnhtbFBLAQIUABQAAAAIAIdO4kD1&#10;6b7X7wEAALMDAAAOAAAAAAAAAAEAIAAAAB8BAABkcnMvZTJvRG9jLnhtbFBLBQYAAAAABgAGAFkB&#10;AACA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spacing w:line="14" w:lineRule="auto"/>
      <w:rPr>
        <w:rFonts w:hint="eastAsia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ViMzE3M2M0MDNmMzM0OTgwYjgyZGQyMjEwN2I0NTgifQ=="/>
  </w:docVars>
  <w:rsids>
    <w:rsidRoot w:val="00172A27"/>
    <w:rsid w:val="00010EF4"/>
    <w:rsid w:val="000308CE"/>
    <w:rsid w:val="00034A04"/>
    <w:rsid w:val="00037E8B"/>
    <w:rsid w:val="00040BF1"/>
    <w:rsid w:val="000735FB"/>
    <w:rsid w:val="000808BC"/>
    <w:rsid w:val="0008171C"/>
    <w:rsid w:val="00092B55"/>
    <w:rsid w:val="000B4E65"/>
    <w:rsid w:val="001205AF"/>
    <w:rsid w:val="0012650E"/>
    <w:rsid w:val="00183EC4"/>
    <w:rsid w:val="001E72E6"/>
    <w:rsid w:val="00224C9D"/>
    <w:rsid w:val="00252889"/>
    <w:rsid w:val="0026133F"/>
    <w:rsid w:val="002B3BDD"/>
    <w:rsid w:val="002C2E40"/>
    <w:rsid w:val="002C3763"/>
    <w:rsid w:val="00321888"/>
    <w:rsid w:val="00332BAE"/>
    <w:rsid w:val="00341A9B"/>
    <w:rsid w:val="003666AD"/>
    <w:rsid w:val="00370893"/>
    <w:rsid w:val="00375E73"/>
    <w:rsid w:val="00386AA3"/>
    <w:rsid w:val="0039277F"/>
    <w:rsid w:val="003C04E5"/>
    <w:rsid w:val="003C65E8"/>
    <w:rsid w:val="003C78B9"/>
    <w:rsid w:val="0041180C"/>
    <w:rsid w:val="0041609A"/>
    <w:rsid w:val="0042281A"/>
    <w:rsid w:val="004429AA"/>
    <w:rsid w:val="00487657"/>
    <w:rsid w:val="00487EFF"/>
    <w:rsid w:val="004C08A0"/>
    <w:rsid w:val="004E486B"/>
    <w:rsid w:val="00523336"/>
    <w:rsid w:val="00591BEF"/>
    <w:rsid w:val="005A76DA"/>
    <w:rsid w:val="005D0686"/>
    <w:rsid w:val="005F1F4B"/>
    <w:rsid w:val="006427C1"/>
    <w:rsid w:val="00652759"/>
    <w:rsid w:val="006728BD"/>
    <w:rsid w:val="00684DA3"/>
    <w:rsid w:val="006A7BB5"/>
    <w:rsid w:val="006C7BC5"/>
    <w:rsid w:val="006D37E8"/>
    <w:rsid w:val="006E4F4F"/>
    <w:rsid w:val="00756C5F"/>
    <w:rsid w:val="007952CA"/>
    <w:rsid w:val="007A0B33"/>
    <w:rsid w:val="007A3101"/>
    <w:rsid w:val="007F661F"/>
    <w:rsid w:val="007F74F2"/>
    <w:rsid w:val="0081484B"/>
    <w:rsid w:val="008309C0"/>
    <w:rsid w:val="008431C3"/>
    <w:rsid w:val="00881B5E"/>
    <w:rsid w:val="00887107"/>
    <w:rsid w:val="00896876"/>
    <w:rsid w:val="008A550B"/>
    <w:rsid w:val="008D7DCF"/>
    <w:rsid w:val="00923DAA"/>
    <w:rsid w:val="00965AE5"/>
    <w:rsid w:val="00976FFB"/>
    <w:rsid w:val="009A3A6C"/>
    <w:rsid w:val="009B19DC"/>
    <w:rsid w:val="009D229A"/>
    <w:rsid w:val="009E118E"/>
    <w:rsid w:val="009E1AB1"/>
    <w:rsid w:val="00A03CA3"/>
    <w:rsid w:val="00A04C0A"/>
    <w:rsid w:val="00A2644D"/>
    <w:rsid w:val="00A57004"/>
    <w:rsid w:val="00A618AC"/>
    <w:rsid w:val="00AC209D"/>
    <w:rsid w:val="00AC30A3"/>
    <w:rsid w:val="00AC7524"/>
    <w:rsid w:val="00AC75B9"/>
    <w:rsid w:val="00B02A32"/>
    <w:rsid w:val="00B6757C"/>
    <w:rsid w:val="00B81AF7"/>
    <w:rsid w:val="00BA6571"/>
    <w:rsid w:val="00BD4842"/>
    <w:rsid w:val="00C02FA5"/>
    <w:rsid w:val="00C32DAD"/>
    <w:rsid w:val="00C60A8C"/>
    <w:rsid w:val="00C9270B"/>
    <w:rsid w:val="00CB1090"/>
    <w:rsid w:val="00CC5D15"/>
    <w:rsid w:val="00D01082"/>
    <w:rsid w:val="00D0188F"/>
    <w:rsid w:val="00D054C2"/>
    <w:rsid w:val="00D15824"/>
    <w:rsid w:val="00D2281F"/>
    <w:rsid w:val="00D6032B"/>
    <w:rsid w:val="00E323DF"/>
    <w:rsid w:val="00E3563F"/>
    <w:rsid w:val="00E5780A"/>
    <w:rsid w:val="00E83363"/>
    <w:rsid w:val="00EC1ACB"/>
    <w:rsid w:val="00EC5F52"/>
    <w:rsid w:val="00EC7104"/>
    <w:rsid w:val="00EF1342"/>
    <w:rsid w:val="00F10C46"/>
    <w:rsid w:val="00F83CA1"/>
    <w:rsid w:val="00FC0CB7"/>
    <w:rsid w:val="01231F63"/>
    <w:rsid w:val="012F6498"/>
    <w:rsid w:val="01C52D05"/>
    <w:rsid w:val="01C9508B"/>
    <w:rsid w:val="01F571E8"/>
    <w:rsid w:val="02726640"/>
    <w:rsid w:val="02B409D3"/>
    <w:rsid w:val="02B8665D"/>
    <w:rsid w:val="030456E9"/>
    <w:rsid w:val="033008EF"/>
    <w:rsid w:val="04005DCB"/>
    <w:rsid w:val="044C7E0C"/>
    <w:rsid w:val="04AF0E93"/>
    <w:rsid w:val="05E01F5E"/>
    <w:rsid w:val="060D35F1"/>
    <w:rsid w:val="0622233D"/>
    <w:rsid w:val="06930D7E"/>
    <w:rsid w:val="071E2AA2"/>
    <w:rsid w:val="07230354"/>
    <w:rsid w:val="073360BD"/>
    <w:rsid w:val="078B7CA7"/>
    <w:rsid w:val="07BC60B3"/>
    <w:rsid w:val="09067606"/>
    <w:rsid w:val="0910484F"/>
    <w:rsid w:val="09273A00"/>
    <w:rsid w:val="0958469C"/>
    <w:rsid w:val="095A7B90"/>
    <w:rsid w:val="097846E4"/>
    <w:rsid w:val="09846F76"/>
    <w:rsid w:val="0AA03A6A"/>
    <w:rsid w:val="0B4F7023"/>
    <w:rsid w:val="0B61144B"/>
    <w:rsid w:val="0C9246AC"/>
    <w:rsid w:val="0CB670A6"/>
    <w:rsid w:val="0D9F0B7D"/>
    <w:rsid w:val="0F8A695A"/>
    <w:rsid w:val="12632729"/>
    <w:rsid w:val="126C47C0"/>
    <w:rsid w:val="12D90460"/>
    <w:rsid w:val="13391AA8"/>
    <w:rsid w:val="13EF53F3"/>
    <w:rsid w:val="14130090"/>
    <w:rsid w:val="14210880"/>
    <w:rsid w:val="14382FFD"/>
    <w:rsid w:val="143A179D"/>
    <w:rsid w:val="14667AD2"/>
    <w:rsid w:val="14AD74AF"/>
    <w:rsid w:val="14EF69A4"/>
    <w:rsid w:val="155D7D97"/>
    <w:rsid w:val="166400FA"/>
    <w:rsid w:val="17B374D2"/>
    <w:rsid w:val="17E41A27"/>
    <w:rsid w:val="1807337A"/>
    <w:rsid w:val="18A8690B"/>
    <w:rsid w:val="19047B3A"/>
    <w:rsid w:val="19C109D2"/>
    <w:rsid w:val="19F33BB6"/>
    <w:rsid w:val="1A09162B"/>
    <w:rsid w:val="1A7647E7"/>
    <w:rsid w:val="1A8037D1"/>
    <w:rsid w:val="1A875D0E"/>
    <w:rsid w:val="1ABF2CB6"/>
    <w:rsid w:val="1B013949"/>
    <w:rsid w:val="1B622567"/>
    <w:rsid w:val="1B9E47A5"/>
    <w:rsid w:val="1BCC17F9"/>
    <w:rsid w:val="1BE0775F"/>
    <w:rsid w:val="1C021814"/>
    <w:rsid w:val="1C542906"/>
    <w:rsid w:val="1C64095A"/>
    <w:rsid w:val="1CB3587E"/>
    <w:rsid w:val="1CCA4B8B"/>
    <w:rsid w:val="1D01219F"/>
    <w:rsid w:val="1DF151D4"/>
    <w:rsid w:val="1E0703E5"/>
    <w:rsid w:val="1E8C6387"/>
    <w:rsid w:val="1EFC22D8"/>
    <w:rsid w:val="1F653E53"/>
    <w:rsid w:val="20CB0B8A"/>
    <w:rsid w:val="21042B4C"/>
    <w:rsid w:val="211A71BA"/>
    <w:rsid w:val="21311468"/>
    <w:rsid w:val="21366A7E"/>
    <w:rsid w:val="21460C11"/>
    <w:rsid w:val="2166026A"/>
    <w:rsid w:val="21E62252"/>
    <w:rsid w:val="22042B99"/>
    <w:rsid w:val="22903F40"/>
    <w:rsid w:val="22E76282"/>
    <w:rsid w:val="23131B18"/>
    <w:rsid w:val="23D305B4"/>
    <w:rsid w:val="23F71864"/>
    <w:rsid w:val="24152C7A"/>
    <w:rsid w:val="2480468B"/>
    <w:rsid w:val="24BF4405"/>
    <w:rsid w:val="255A1295"/>
    <w:rsid w:val="25675458"/>
    <w:rsid w:val="2601765A"/>
    <w:rsid w:val="26D660F0"/>
    <w:rsid w:val="27AC5FFD"/>
    <w:rsid w:val="27BE25EB"/>
    <w:rsid w:val="287A36F4"/>
    <w:rsid w:val="28C0218D"/>
    <w:rsid w:val="2A7F1496"/>
    <w:rsid w:val="2A850A95"/>
    <w:rsid w:val="2BC52ED8"/>
    <w:rsid w:val="2CBC252D"/>
    <w:rsid w:val="2CD8457F"/>
    <w:rsid w:val="2CEC5825"/>
    <w:rsid w:val="2D0B5263"/>
    <w:rsid w:val="2D2B765F"/>
    <w:rsid w:val="2D5262DB"/>
    <w:rsid w:val="2D70259D"/>
    <w:rsid w:val="2DC85156"/>
    <w:rsid w:val="2DF91651"/>
    <w:rsid w:val="2EC247D6"/>
    <w:rsid w:val="2EE67D35"/>
    <w:rsid w:val="2F0A5EFB"/>
    <w:rsid w:val="2F464EE4"/>
    <w:rsid w:val="2FE86ACC"/>
    <w:rsid w:val="30485F3F"/>
    <w:rsid w:val="306F6C3E"/>
    <w:rsid w:val="30C761EA"/>
    <w:rsid w:val="31271F3F"/>
    <w:rsid w:val="3150690A"/>
    <w:rsid w:val="325150BF"/>
    <w:rsid w:val="330811E7"/>
    <w:rsid w:val="332F2DD3"/>
    <w:rsid w:val="333C0DD2"/>
    <w:rsid w:val="342310E4"/>
    <w:rsid w:val="34DF642E"/>
    <w:rsid w:val="352B0250"/>
    <w:rsid w:val="35E72C01"/>
    <w:rsid w:val="363B2715"/>
    <w:rsid w:val="36677FA3"/>
    <w:rsid w:val="367F3AC7"/>
    <w:rsid w:val="37EB2D52"/>
    <w:rsid w:val="38160C14"/>
    <w:rsid w:val="3839379A"/>
    <w:rsid w:val="38C06F01"/>
    <w:rsid w:val="38F742BE"/>
    <w:rsid w:val="39401BFB"/>
    <w:rsid w:val="39C2255D"/>
    <w:rsid w:val="39EA2B61"/>
    <w:rsid w:val="3A7700FD"/>
    <w:rsid w:val="3AD76025"/>
    <w:rsid w:val="3B317B4C"/>
    <w:rsid w:val="3B434ADA"/>
    <w:rsid w:val="3B7D2CC4"/>
    <w:rsid w:val="3B912154"/>
    <w:rsid w:val="3C950200"/>
    <w:rsid w:val="3D5F2020"/>
    <w:rsid w:val="3E296531"/>
    <w:rsid w:val="3F5512D0"/>
    <w:rsid w:val="3F6C393F"/>
    <w:rsid w:val="3F74635A"/>
    <w:rsid w:val="409E3FCC"/>
    <w:rsid w:val="411003A4"/>
    <w:rsid w:val="419453CF"/>
    <w:rsid w:val="4200275F"/>
    <w:rsid w:val="42794CFD"/>
    <w:rsid w:val="42817701"/>
    <w:rsid w:val="42852550"/>
    <w:rsid w:val="431A309E"/>
    <w:rsid w:val="43220C3D"/>
    <w:rsid w:val="43276139"/>
    <w:rsid w:val="445157F9"/>
    <w:rsid w:val="45352C98"/>
    <w:rsid w:val="45D31C3C"/>
    <w:rsid w:val="4691012F"/>
    <w:rsid w:val="476310AA"/>
    <w:rsid w:val="47906638"/>
    <w:rsid w:val="479C3360"/>
    <w:rsid w:val="47CA129C"/>
    <w:rsid w:val="47E81FD1"/>
    <w:rsid w:val="47F30A05"/>
    <w:rsid w:val="48B12D0A"/>
    <w:rsid w:val="48B22FB7"/>
    <w:rsid w:val="48B26DF5"/>
    <w:rsid w:val="490D4C68"/>
    <w:rsid w:val="4943327D"/>
    <w:rsid w:val="49516813"/>
    <w:rsid w:val="499A1352"/>
    <w:rsid w:val="4ADF17E2"/>
    <w:rsid w:val="4B2F0E4F"/>
    <w:rsid w:val="4B547103"/>
    <w:rsid w:val="4CD62D3F"/>
    <w:rsid w:val="4D4A2B05"/>
    <w:rsid w:val="4D5511A7"/>
    <w:rsid w:val="4EEF63A2"/>
    <w:rsid w:val="4F840831"/>
    <w:rsid w:val="4FC12346"/>
    <w:rsid w:val="507A40C9"/>
    <w:rsid w:val="50B657C5"/>
    <w:rsid w:val="52504866"/>
    <w:rsid w:val="52A801DE"/>
    <w:rsid w:val="53311C69"/>
    <w:rsid w:val="536E7B08"/>
    <w:rsid w:val="53AF1CD0"/>
    <w:rsid w:val="53C2714D"/>
    <w:rsid w:val="54AC71D5"/>
    <w:rsid w:val="55505436"/>
    <w:rsid w:val="555A5A70"/>
    <w:rsid w:val="55886BA1"/>
    <w:rsid w:val="55932D93"/>
    <w:rsid w:val="55933A00"/>
    <w:rsid w:val="55AC05A6"/>
    <w:rsid w:val="5616588A"/>
    <w:rsid w:val="570A3D11"/>
    <w:rsid w:val="575E2DE8"/>
    <w:rsid w:val="57B02994"/>
    <w:rsid w:val="57C57C38"/>
    <w:rsid w:val="583149B7"/>
    <w:rsid w:val="587D4AEE"/>
    <w:rsid w:val="5A9E48E2"/>
    <w:rsid w:val="5AA4447D"/>
    <w:rsid w:val="5ACF0955"/>
    <w:rsid w:val="5AE12FDB"/>
    <w:rsid w:val="5B21162A"/>
    <w:rsid w:val="5B710D6D"/>
    <w:rsid w:val="5B8D3E89"/>
    <w:rsid w:val="5CFB239A"/>
    <w:rsid w:val="5D765574"/>
    <w:rsid w:val="5E280F21"/>
    <w:rsid w:val="5E6071EA"/>
    <w:rsid w:val="5EE913F8"/>
    <w:rsid w:val="5F724B4A"/>
    <w:rsid w:val="5FCB542A"/>
    <w:rsid w:val="5FFB68ED"/>
    <w:rsid w:val="60A24872"/>
    <w:rsid w:val="61813A42"/>
    <w:rsid w:val="61C465CF"/>
    <w:rsid w:val="61EF4D39"/>
    <w:rsid w:val="6275408E"/>
    <w:rsid w:val="629E1ACF"/>
    <w:rsid w:val="62AD660D"/>
    <w:rsid w:val="62D45910"/>
    <w:rsid w:val="63255A3B"/>
    <w:rsid w:val="63716EC6"/>
    <w:rsid w:val="64033D00"/>
    <w:rsid w:val="64056DBC"/>
    <w:rsid w:val="647F4AE8"/>
    <w:rsid w:val="6520167B"/>
    <w:rsid w:val="6577439E"/>
    <w:rsid w:val="65B23EF2"/>
    <w:rsid w:val="65D8322D"/>
    <w:rsid w:val="65E32499"/>
    <w:rsid w:val="66280881"/>
    <w:rsid w:val="6644245E"/>
    <w:rsid w:val="667602CF"/>
    <w:rsid w:val="66A10559"/>
    <w:rsid w:val="67A11B14"/>
    <w:rsid w:val="68383F2D"/>
    <w:rsid w:val="68B73F13"/>
    <w:rsid w:val="69E011D4"/>
    <w:rsid w:val="6A3D5D54"/>
    <w:rsid w:val="6A95793E"/>
    <w:rsid w:val="6B721A2E"/>
    <w:rsid w:val="6B8359E9"/>
    <w:rsid w:val="6BD70849"/>
    <w:rsid w:val="6BF54B38"/>
    <w:rsid w:val="6C643A6C"/>
    <w:rsid w:val="6CAF118B"/>
    <w:rsid w:val="6CDE737B"/>
    <w:rsid w:val="6D576158"/>
    <w:rsid w:val="6D5C2995"/>
    <w:rsid w:val="6D613935"/>
    <w:rsid w:val="6E5330F4"/>
    <w:rsid w:val="6EA840E4"/>
    <w:rsid w:val="6F0155A2"/>
    <w:rsid w:val="6FAF4256"/>
    <w:rsid w:val="70082960"/>
    <w:rsid w:val="702A342B"/>
    <w:rsid w:val="703D6AAE"/>
    <w:rsid w:val="71107D1F"/>
    <w:rsid w:val="714E0689"/>
    <w:rsid w:val="723637B5"/>
    <w:rsid w:val="72B017B9"/>
    <w:rsid w:val="735A14F3"/>
    <w:rsid w:val="736F2051"/>
    <w:rsid w:val="739A4BCB"/>
    <w:rsid w:val="73B14241"/>
    <w:rsid w:val="744C1B11"/>
    <w:rsid w:val="74A53162"/>
    <w:rsid w:val="74BC02B7"/>
    <w:rsid w:val="74E019EA"/>
    <w:rsid w:val="75D636CD"/>
    <w:rsid w:val="76570C2D"/>
    <w:rsid w:val="767174B1"/>
    <w:rsid w:val="780855B9"/>
    <w:rsid w:val="782C2A5C"/>
    <w:rsid w:val="78CE0BEB"/>
    <w:rsid w:val="78E0447A"/>
    <w:rsid w:val="79193F8F"/>
    <w:rsid w:val="7A7255A6"/>
    <w:rsid w:val="7A8D1712"/>
    <w:rsid w:val="7AF579CA"/>
    <w:rsid w:val="7B5C40FE"/>
    <w:rsid w:val="7CC57154"/>
    <w:rsid w:val="7D4E40A8"/>
    <w:rsid w:val="7E8A11A6"/>
    <w:rsid w:val="7ECB34D7"/>
    <w:rsid w:val="7F963AE5"/>
    <w:rsid w:val="7FB653E7"/>
    <w:rsid w:val="7FB8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Indent"/>
    <w:basedOn w:val="1"/>
    <w:qFormat/>
    <w:uiPriority w:val="0"/>
    <w:pPr>
      <w:ind w:firstLine="630"/>
      <w:textAlignment w:val="baseline"/>
    </w:pPr>
    <w:rPr>
      <w:sz w:val="32"/>
      <w:szCs w:val="20"/>
    </w:r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Body Text"/>
    <w:basedOn w:val="1"/>
    <w:link w:val="14"/>
    <w:qFormat/>
    <w:uiPriority w:val="0"/>
    <w:rPr>
      <w:rFonts w:ascii="宋体" w:hAnsi="宋体" w:cs="宋体"/>
      <w:szCs w:val="21"/>
      <w:lang w:val="zh-CN" w:bidi="zh-CN"/>
    </w:rPr>
  </w:style>
  <w:style w:type="paragraph" w:styleId="6">
    <w:name w:val="Date"/>
    <w:basedOn w:val="1"/>
    <w:next w:val="1"/>
    <w:link w:val="20"/>
    <w:semiHidden/>
    <w:unhideWhenUsed/>
    <w:qFormat/>
    <w:uiPriority w:val="99"/>
    <w:pPr>
      <w:ind w:left="100" w:leftChars="2500"/>
    </w:pPr>
  </w:style>
  <w:style w:type="paragraph" w:styleId="7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2">
    <w:name w:val="UserStyle_11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13">
    <w:name w:val="页脚 字符"/>
    <w:basedOn w:val="10"/>
    <w:link w:val="7"/>
    <w:qFormat/>
    <w:uiPriority w:val="0"/>
    <w:rPr>
      <w:rFonts w:ascii="Times New Roman" w:hAnsi="Times New Roman" w:eastAsia="宋体" w:cs="Times New Roman"/>
      <w:sz w:val="18"/>
    </w:rPr>
  </w:style>
  <w:style w:type="character" w:customStyle="1" w:styleId="14">
    <w:name w:val="正文文本 字符"/>
    <w:basedOn w:val="10"/>
    <w:link w:val="5"/>
    <w:qFormat/>
    <w:uiPriority w:val="0"/>
    <w:rPr>
      <w:rFonts w:ascii="宋体" w:hAnsi="宋体" w:eastAsia="宋体" w:cs="宋体"/>
      <w:szCs w:val="21"/>
      <w:lang w:val="zh-CN" w:bidi="zh-CN"/>
    </w:rPr>
  </w:style>
  <w:style w:type="paragraph" w:customStyle="1" w:styleId="15">
    <w:name w:val="BodyText"/>
    <w:basedOn w:val="1"/>
    <w:qFormat/>
    <w:uiPriority w:val="0"/>
    <w:rPr>
      <w:rFonts w:ascii="宋体" w:hAnsi="宋体"/>
      <w:szCs w:val="21"/>
      <w:lang w:val="zh-CN" w:bidi="zh-CN"/>
    </w:rPr>
  </w:style>
  <w:style w:type="character" w:customStyle="1" w:styleId="16">
    <w:name w:val="15"/>
    <w:qFormat/>
    <w:uiPriority w:val="0"/>
    <w:rPr>
      <w:rFonts w:hint="default" w:ascii="Times New Roman" w:hAnsi="Times New Roman" w:eastAsia="宋体" w:cs="Times New Roman"/>
      <w:kern w:val="2"/>
      <w:sz w:val="21"/>
      <w:szCs w:val="21"/>
    </w:rPr>
  </w:style>
  <w:style w:type="character" w:customStyle="1" w:styleId="17">
    <w:name w:val="页眉 字符"/>
    <w:basedOn w:val="10"/>
    <w:link w:val="8"/>
    <w:qFormat/>
    <w:uiPriority w:val="99"/>
    <w:rPr>
      <w:kern w:val="2"/>
      <w:sz w:val="18"/>
      <w:szCs w:val="18"/>
    </w:rPr>
  </w:style>
  <w:style w:type="character" w:customStyle="1" w:styleId="18">
    <w:name w:val="NormalCharacter"/>
    <w:link w:val="19"/>
    <w:qFormat/>
    <w:uiPriority w:val="0"/>
    <w:rPr>
      <w:sz w:val="24"/>
      <w:szCs w:val="24"/>
    </w:rPr>
  </w:style>
  <w:style w:type="paragraph" w:customStyle="1" w:styleId="19">
    <w:name w:val="UserStyle_0"/>
    <w:basedOn w:val="1"/>
    <w:link w:val="18"/>
    <w:qFormat/>
    <w:uiPriority w:val="0"/>
    <w:pPr>
      <w:widowControl/>
      <w:tabs>
        <w:tab w:val="left" w:pos="360"/>
        <w:tab w:val="left" w:pos="5670"/>
      </w:tabs>
      <w:snapToGrid w:val="0"/>
      <w:spacing w:line="560" w:lineRule="exact"/>
      <w:ind w:firstLine="562" w:firstLineChars="200"/>
      <w:jc w:val="center"/>
      <w:textAlignment w:val="baseline"/>
    </w:pPr>
    <w:rPr>
      <w:kern w:val="0"/>
      <w:sz w:val="24"/>
      <w:szCs w:val="24"/>
    </w:rPr>
  </w:style>
  <w:style w:type="character" w:customStyle="1" w:styleId="20">
    <w:name w:val="日期 字符"/>
    <w:basedOn w:val="10"/>
    <w:link w:val="6"/>
    <w:semiHidden/>
    <w:qFormat/>
    <w:uiPriority w:val="99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3184</Words>
  <Characters>3345</Characters>
  <Lines>19</Lines>
  <Paragraphs>5</Paragraphs>
  <TotalTime>4</TotalTime>
  <ScaleCrop>false</ScaleCrop>
  <LinksUpToDate>false</LinksUpToDate>
  <CharactersWithSpaces>3359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2023-11-21T02:29:00Z</dcterms:created>
  <dc:creator>张 勇</dc:creator>
  <cp:lastModifiedBy>UNIS</cp:lastModifiedBy>
  <cp:lastPrinted>2026-04-15T06:16:44Z</cp:lastPrinted>
  <dcterms:modified xsi:type="dcterms:W3CDTF">2026-04-15T06:17:37Z</dcterms:modified>
  <cp:revision>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78851C9B4D6F41F5BF44429B0F5BBFA1_13</vt:lpwstr>
  </property>
  <property fmtid="{D5CDD505-2E9C-101B-9397-08002B2CF9AE}" pid="4" name="KSOTemplateDocerSaveRecord">
    <vt:lpwstr>eyJoZGlkIjoiNzk4YWU3MDllZGFiMzQyMTAwMjYxYmE2YWQwODRhZjEiLCJ1c2VySWQiOiIzMTQyNTAzNjQifQ==</vt:lpwstr>
  </property>
</Properties>
</file>