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B6354" w14:textId="77777777" w:rsidR="005F3BF6" w:rsidRDefault="005F3BF6" w:rsidP="005F3BF6">
      <w:pPr>
        <w:pStyle w:val="1"/>
        <w:keepNext w:val="0"/>
        <w:keepLines w:val="0"/>
        <w:overflowPunct w:val="0"/>
        <w:spacing w:beforeLines="50" w:before="120" w:afterLines="50" w:after="120" w:line="240" w:lineRule="auto"/>
        <w:ind w:firstLineChars="0" w:firstLine="0"/>
        <w:rPr>
          <w:rFonts w:eastAsia="宋体"/>
          <w:sz w:val="24"/>
          <w:szCs w:val="24"/>
        </w:rPr>
      </w:pPr>
      <w:r>
        <w:rPr>
          <w:rFonts w:eastAsia="宋体"/>
          <w:color w:val="auto"/>
          <w:sz w:val="24"/>
          <w:szCs w:val="24"/>
        </w:rPr>
        <w:t>附件</w:t>
      </w:r>
      <w:r>
        <w:rPr>
          <w:rFonts w:eastAsia="宋体"/>
          <w:color w:val="auto"/>
          <w:sz w:val="24"/>
          <w:szCs w:val="24"/>
        </w:rPr>
        <w:t>1</w:t>
      </w:r>
    </w:p>
    <w:p w14:paraId="230E621D" w14:textId="77777777" w:rsidR="005F3BF6" w:rsidRDefault="005F3BF6" w:rsidP="005F3BF6">
      <w:pPr>
        <w:pStyle w:val="1"/>
        <w:keepNext w:val="0"/>
        <w:keepLines w:val="0"/>
        <w:overflowPunct w:val="0"/>
        <w:spacing w:beforeLines="50" w:before="120" w:afterLines="50" w:after="120" w:line="240" w:lineRule="auto"/>
        <w:ind w:firstLineChars="0" w:firstLine="0"/>
        <w:rPr>
          <w:rFonts w:eastAsia="宋体"/>
          <w:sz w:val="24"/>
          <w:szCs w:val="24"/>
        </w:rPr>
      </w:pPr>
      <w:r>
        <w:rPr>
          <w:rFonts w:eastAsia="宋体"/>
          <w:color w:val="auto"/>
          <w:sz w:val="24"/>
          <w:szCs w:val="24"/>
        </w:rPr>
        <w:t>Appendix 1</w:t>
      </w:r>
    </w:p>
    <w:p w14:paraId="79D6A8C8" w14:textId="77777777" w:rsidR="005F3BF6" w:rsidRDefault="005F3BF6" w:rsidP="005F3BF6">
      <w:pPr>
        <w:overflowPunct w:val="0"/>
        <w:spacing w:beforeLines="50" w:before="120" w:afterLines="50" w:after="120" w:line="240" w:lineRule="auto"/>
        <w:ind w:firstLineChars="0" w:firstLine="0"/>
        <w:jc w:val="center"/>
        <w:rPr>
          <w:rFonts w:eastAsia="宋体"/>
          <w:bCs/>
          <w:sz w:val="24"/>
          <w:szCs w:val="24"/>
        </w:rPr>
      </w:pPr>
    </w:p>
    <w:p w14:paraId="3B15EDFA" w14:textId="77777777" w:rsidR="005F3BF6" w:rsidRDefault="005F3BF6" w:rsidP="005F3BF6">
      <w:pPr>
        <w:overflowPunct w:val="0"/>
        <w:spacing w:beforeLines="50" w:before="120" w:afterLines="50" w:after="120" w:line="240" w:lineRule="auto"/>
        <w:ind w:firstLineChars="0" w:firstLine="0"/>
        <w:jc w:val="center"/>
        <w:rPr>
          <w:rFonts w:eastAsia="宋体"/>
          <w:bCs/>
          <w:sz w:val="24"/>
          <w:szCs w:val="24"/>
        </w:rPr>
      </w:pPr>
      <w:r>
        <w:rPr>
          <w:rFonts w:eastAsia="宋体"/>
          <w:bCs/>
          <w:sz w:val="24"/>
          <w:szCs w:val="24"/>
        </w:rPr>
        <w:t>参赛单位申请表</w:t>
      </w:r>
    </w:p>
    <w:p w14:paraId="53576A42" w14:textId="77777777" w:rsidR="005F3BF6" w:rsidRDefault="005F3BF6" w:rsidP="005F3BF6">
      <w:pPr>
        <w:pStyle w:val="Default"/>
        <w:overflowPunct w:val="0"/>
        <w:autoSpaceDE/>
        <w:autoSpaceDN/>
        <w:spacing w:beforeLines="50" w:before="120" w:afterLines="50" w:after="120"/>
        <w:jc w:val="center"/>
        <w:rPr>
          <w:rFonts w:ascii="Times New Roman" w:eastAsia="宋体" w:hAnsi="Times New Roman" w:cs="Times New Roman"/>
          <w:b/>
          <w:color w:val="auto"/>
        </w:rPr>
      </w:pPr>
      <w:r>
        <w:rPr>
          <w:rFonts w:ascii="Times New Roman" w:eastAsia="宋体" w:hAnsi="Times New Roman" w:cs="Times New Roman"/>
          <w:b/>
          <w:color w:val="auto"/>
        </w:rPr>
        <w:t xml:space="preserve"> Application Form</w:t>
      </w:r>
    </w:p>
    <w:tbl>
      <w:tblPr>
        <w:tblW w:w="8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4189"/>
        <w:gridCol w:w="3421"/>
      </w:tblGrid>
      <w:tr w:rsidR="005F3BF6" w14:paraId="67BA2665" w14:textId="77777777" w:rsidTr="006E777B">
        <w:trPr>
          <w:trHeight w:val="680"/>
          <w:jc w:val="center"/>
        </w:trPr>
        <w:tc>
          <w:tcPr>
            <w:tcW w:w="764" w:type="dxa"/>
            <w:vAlign w:val="center"/>
          </w:tcPr>
          <w:p w14:paraId="5B944908" w14:textId="77777777" w:rsidR="005F3BF6" w:rsidRDefault="005F3BF6" w:rsidP="006E777B">
            <w:pPr>
              <w:overflowPunct w:val="0"/>
              <w:spacing w:beforeLines="50" w:before="120" w:afterLines="50" w:after="120" w:line="240" w:lineRule="auto"/>
              <w:ind w:firstLineChars="0" w:firstLine="0"/>
              <w:jc w:val="center"/>
              <w:rPr>
                <w:rFonts w:eastAsia="宋体"/>
                <w:sz w:val="24"/>
                <w:szCs w:val="24"/>
              </w:rPr>
            </w:pPr>
            <w:r>
              <w:rPr>
                <w:rFonts w:eastAsia="宋体"/>
                <w:sz w:val="24"/>
                <w:szCs w:val="24"/>
              </w:rPr>
              <w:t>序号</w:t>
            </w:r>
          </w:p>
          <w:p w14:paraId="62C296B0" w14:textId="77777777" w:rsidR="005F3BF6" w:rsidRDefault="005F3BF6" w:rsidP="006E777B">
            <w:pPr>
              <w:pStyle w:val="Default"/>
              <w:overflowPunct w:val="0"/>
              <w:spacing w:beforeLines="50" w:before="120" w:afterLines="50" w:after="120"/>
              <w:jc w:val="center"/>
              <w:rPr>
                <w:rFonts w:ascii="Times New Roman" w:eastAsia="宋体" w:hAnsi="Times New Roman" w:cs="Times New Roman"/>
                <w:color w:val="auto"/>
              </w:rPr>
            </w:pPr>
            <w:r>
              <w:rPr>
                <w:rFonts w:ascii="Times New Roman" w:eastAsia="宋体" w:hAnsi="Times New Roman" w:cs="Times New Roman"/>
                <w:color w:val="auto"/>
              </w:rPr>
              <w:t>No.</w:t>
            </w:r>
          </w:p>
        </w:tc>
        <w:tc>
          <w:tcPr>
            <w:tcW w:w="4189" w:type="dxa"/>
            <w:vAlign w:val="center"/>
          </w:tcPr>
          <w:p w14:paraId="5E1BD586" w14:textId="77777777" w:rsidR="005F3BF6" w:rsidRDefault="005F3BF6" w:rsidP="006E777B">
            <w:pPr>
              <w:overflowPunct w:val="0"/>
              <w:spacing w:beforeLines="50" w:before="120" w:afterLines="50" w:after="120" w:line="240" w:lineRule="auto"/>
              <w:ind w:firstLineChars="0" w:firstLine="0"/>
              <w:jc w:val="center"/>
              <w:rPr>
                <w:rFonts w:eastAsia="宋体"/>
                <w:sz w:val="24"/>
                <w:szCs w:val="24"/>
              </w:rPr>
            </w:pPr>
            <w:r>
              <w:rPr>
                <w:rFonts w:eastAsia="宋体"/>
                <w:sz w:val="24"/>
                <w:szCs w:val="24"/>
              </w:rPr>
              <w:t>填写项目</w:t>
            </w:r>
          </w:p>
          <w:p w14:paraId="6CDB4B9F" w14:textId="77777777" w:rsidR="005F3BF6" w:rsidRDefault="005F3BF6" w:rsidP="006E777B">
            <w:pPr>
              <w:pStyle w:val="Default"/>
              <w:overflowPunct w:val="0"/>
              <w:spacing w:beforeLines="50" w:before="120" w:afterLines="50" w:after="120"/>
              <w:jc w:val="center"/>
              <w:rPr>
                <w:rFonts w:ascii="Times New Roman" w:eastAsia="宋体" w:hAnsi="Times New Roman" w:cs="Times New Roman"/>
                <w:color w:val="auto"/>
              </w:rPr>
            </w:pPr>
            <w:r>
              <w:rPr>
                <w:rFonts w:ascii="Times New Roman" w:eastAsia="宋体" w:hAnsi="Times New Roman" w:cs="Times New Roman"/>
                <w:color w:val="auto"/>
              </w:rPr>
              <w:t>Item</w:t>
            </w:r>
          </w:p>
        </w:tc>
        <w:tc>
          <w:tcPr>
            <w:tcW w:w="3421" w:type="dxa"/>
            <w:vAlign w:val="center"/>
          </w:tcPr>
          <w:p w14:paraId="33F0F9B7" w14:textId="77777777" w:rsidR="005F3BF6" w:rsidRDefault="005F3BF6" w:rsidP="006E777B">
            <w:pPr>
              <w:overflowPunct w:val="0"/>
              <w:spacing w:beforeLines="50" w:before="120" w:afterLines="50" w:after="120" w:line="240" w:lineRule="auto"/>
              <w:ind w:firstLineChars="0" w:firstLine="0"/>
              <w:jc w:val="center"/>
              <w:rPr>
                <w:rFonts w:eastAsia="宋体"/>
                <w:sz w:val="24"/>
                <w:szCs w:val="24"/>
              </w:rPr>
            </w:pPr>
            <w:r>
              <w:rPr>
                <w:rFonts w:eastAsia="宋体"/>
                <w:sz w:val="24"/>
                <w:szCs w:val="24"/>
              </w:rPr>
              <w:t>填写内容</w:t>
            </w:r>
          </w:p>
          <w:p w14:paraId="3EA8AB23" w14:textId="77777777" w:rsidR="005F3BF6" w:rsidRDefault="005F3BF6" w:rsidP="006E777B">
            <w:pPr>
              <w:pStyle w:val="Default"/>
              <w:overflowPunct w:val="0"/>
              <w:spacing w:beforeLines="50" w:before="120" w:afterLines="50" w:after="120"/>
              <w:jc w:val="center"/>
              <w:rPr>
                <w:rFonts w:ascii="Times New Roman" w:eastAsia="宋体" w:hAnsi="Times New Roman" w:cs="Times New Roman"/>
                <w:color w:val="auto"/>
              </w:rPr>
            </w:pPr>
            <w:r>
              <w:rPr>
                <w:rFonts w:ascii="Times New Roman" w:eastAsia="宋体" w:hAnsi="Times New Roman" w:cs="Times New Roman"/>
                <w:color w:val="auto"/>
              </w:rPr>
              <w:t>Content</w:t>
            </w:r>
          </w:p>
        </w:tc>
      </w:tr>
      <w:tr w:rsidR="005F3BF6" w14:paraId="3297D1E4" w14:textId="77777777" w:rsidTr="006E777B">
        <w:trPr>
          <w:trHeight w:val="680"/>
          <w:jc w:val="center"/>
        </w:trPr>
        <w:tc>
          <w:tcPr>
            <w:tcW w:w="764" w:type="dxa"/>
            <w:vAlign w:val="center"/>
          </w:tcPr>
          <w:p w14:paraId="6B5FD1DF"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1</w:t>
            </w:r>
          </w:p>
        </w:tc>
        <w:tc>
          <w:tcPr>
            <w:tcW w:w="4189" w:type="dxa"/>
            <w:vAlign w:val="center"/>
          </w:tcPr>
          <w:p w14:paraId="56034867"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应征机构注册名称</w:t>
            </w:r>
          </w:p>
          <w:p w14:paraId="56FD82F0"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 xml:space="preserve">Registered Name of Applicant </w:t>
            </w:r>
          </w:p>
        </w:tc>
        <w:tc>
          <w:tcPr>
            <w:tcW w:w="3421" w:type="dxa"/>
            <w:vAlign w:val="center"/>
          </w:tcPr>
          <w:p w14:paraId="56952420"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r w:rsidR="005F3BF6" w14:paraId="18213FAD" w14:textId="77777777" w:rsidTr="006E777B">
        <w:trPr>
          <w:trHeight w:val="680"/>
          <w:jc w:val="center"/>
        </w:trPr>
        <w:tc>
          <w:tcPr>
            <w:tcW w:w="764" w:type="dxa"/>
            <w:vAlign w:val="center"/>
          </w:tcPr>
          <w:p w14:paraId="055BF1BF"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2</w:t>
            </w:r>
          </w:p>
        </w:tc>
        <w:tc>
          <w:tcPr>
            <w:tcW w:w="4189" w:type="dxa"/>
            <w:vAlign w:val="center"/>
          </w:tcPr>
          <w:p w14:paraId="3355DEAA"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注册国家</w:t>
            </w:r>
            <w:r>
              <w:rPr>
                <w:rFonts w:eastAsia="宋体"/>
                <w:sz w:val="24"/>
                <w:szCs w:val="24"/>
              </w:rPr>
              <w:t>/</w:t>
            </w:r>
            <w:r>
              <w:rPr>
                <w:rFonts w:eastAsia="宋体"/>
                <w:sz w:val="24"/>
                <w:szCs w:val="24"/>
              </w:rPr>
              <w:t>地区</w:t>
            </w:r>
          </w:p>
          <w:p w14:paraId="004BF508"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Registered Country/Region</w:t>
            </w:r>
          </w:p>
        </w:tc>
        <w:tc>
          <w:tcPr>
            <w:tcW w:w="3421" w:type="dxa"/>
            <w:vAlign w:val="center"/>
          </w:tcPr>
          <w:p w14:paraId="7D03DC24"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r w:rsidR="005F3BF6" w14:paraId="3597307F" w14:textId="77777777" w:rsidTr="006E777B">
        <w:trPr>
          <w:trHeight w:val="680"/>
          <w:jc w:val="center"/>
        </w:trPr>
        <w:tc>
          <w:tcPr>
            <w:tcW w:w="764" w:type="dxa"/>
            <w:vAlign w:val="center"/>
          </w:tcPr>
          <w:p w14:paraId="4E94959B"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3</w:t>
            </w:r>
          </w:p>
        </w:tc>
        <w:tc>
          <w:tcPr>
            <w:tcW w:w="4189" w:type="dxa"/>
            <w:vAlign w:val="center"/>
          </w:tcPr>
          <w:p w14:paraId="353C3945"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注册地址</w:t>
            </w:r>
          </w:p>
          <w:p w14:paraId="626DDD5D"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Registered Address</w:t>
            </w:r>
          </w:p>
        </w:tc>
        <w:tc>
          <w:tcPr>
            <w:tcW w:w="3421" w:type="dxa"/>
            <w:vAlign w:val="center"/>
          </w:tcPr>
          <w:p w14:paraId="2BD215B3"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r w:rsidR="005F3BF6" w14:paraId="05EBA035" w14:textId="77777777" w:rsidTr="006E777B">
        <w:trPr>
          <w:trHeight w:val="680"/>
          <w:jc w:val="center"/>
        </w:trPr>
        <w:tc>
          <w:tcPr>
            <w:tcW w:w="764" w:type="dxa"/>
            <w:vAlign w:val="center"/>
          </w:tcPr>
          <w:p w14:paraId="042C4205"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4</w:t>
            </w:r>
          </w:p>
        </w:tc>
        <w:tc>
          <w:tcPr>
            <w:tcW w:w="4189" w:type="dxa"/>
            <w:vAlign w:val="center"/>
          </w:tcPr>
          <w:p w14:paraId="30ED710A"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资质类别（如有）</w:t>
            </w:r>
          </w:p>
          <w:p w14:paraId="20166174"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Qualification (if any)</w:t>
            </w:r>
          </w:p>
        </w:tc>
        <w:tc>
          <w:tcPr>
            <w:tcW w:w="3421" w:type="dxa"/>
            <w:vAlign w:val="center"/>
          </w:tcPr>
          <w:p w14:paraId="15A56A4C"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r w:rsidR="005F3BF6" w14:paraId="5DCE8A6E" w14:textId="77777777" w:rsidTr="006E777B">
        <w:trPr>
          <w:trHeight w:val="680"/>
          <w:jc w:val="center"/>
        </w:trPr>
        <w:tc>
          <w:tcPr>
            <w:tcW w:w="764" w:type="dxa"/>
            <w:vAlign w:val="center"/>
          </w:tcPr>
          <w:p w14:paraId="3B6DC661"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5</w:t>
            </w:r>
          </w:p>
        </w:tc>
        <w:tc>
          <w:tcPr>
            <w:tcW w:w="4189" w:type="dxa"/>
            <w:vAlign w:val="center"/>
          </w:tcPr>
          <w:p w14:paraId="7D6048C2"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相关业绩</w:t>
            </w:r>
          </w:p>
          <w:p w14:paraId="71D42C4A"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Relevant Performance</w:t>
            </w:r>
          </w:p>
        </w:tc>
        <w:tc>
          <w:tcPr>
            <w:tcW w:w="3421" w:type="dxa"/>
            <w:vAlign w:val="center"/>
          </w:tcPr>
          <w:p w14:paraId="73B40FC9"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r w:rsidR="005F3BF6" w14:paraId="61CED8DF" w14:textId="77777777" w:rsidTr="006E777B">
        <w:trPr>
          <w:trHeight w:val="759"/>
          <w:jc w:val="center"/>
        </w:trPr>
        <w:tc>
          <w:tcPr>
            <w:tcW w:w="764" w:type="dxa"/>
            <w:vAlign w:val="center"/>
          </w:tcPr>
          <w:p w14:paraId="57A173E7"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6</w:t>
            </w:r>
          </w:p>
        </w:tc>
        <w:tc>
          <w:tcPr>
            <w:tcW w:w="4189" w:type="dxa"/>
            <w:vAlign w:val="center"/>
          </w:tcPr>
          <w:p w14:paraId="67E84BDE"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领衔设计师承诺全程参与（签字）</w:t>
            </w:r>
          </w:p>
          <w:p w14:paraId="55B37384"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Lead Designer Commit Full Participation (signature)</w:t>
            </w:r>
          </w:p>
        </w:tc>
        <w:tc>
          <w:tcPr>
            <w:tcW w:w="3421" w:type="dxa"/>
            <w:vAlign w:val="center"/>
          </w:tcPr>
          <w:p w14:paraId="6063700F"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r w:rsidR="005F3BF6" w14:paraId="3301030E" w14:textId="77777777" w:rsidTr="006E777B">
        <w:trPr>
          <w:trHeight w:val="680"/>
          <w:jc w:val="center"/>
        </w:trPr>
        <w:tc>
          <w:tcPr>
            <w:tcW w:w="764" w:type="dxa"/>
            <w:vAlign w:val="center"/>
          </w:tcPr>
          <w:p w14:paraId="5762D2A7"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7</w:t>
            </w:r>
          </w:p>
        </w:tc>
        <w:tc>
          <w:tcPr>
            <w:tcW w:w="4189" w:type="dxa"/>
            <w:vAlign w:val="center"/>
          </w:tcPr>
          <w:p w14:paraId="0538433D"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本项目联系人</w:t>
            </w:r>
          </w:p>
          <w:p w14:paraId="5A782438"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Contact</w:t>
            </w:r>
          </w:p>
        </w:tc>
        <w:tc>
          <w:tcPr>
            <w:tcW w:w="3421" w:type="dxa"/>
            <w:vAlign w:val="center"/>
          </w:tcPr>
          <w:p w14:paraId="4E1266DD" w14:textId="77777777" w:rsidR="005F3BF6" w:rsidRDefault="005F3BF6" w:rsidP="006E777B">
            <w:pPr>
              <w:overflowPunct w:val="0"/>
              <w:spacing w:beforeLines="50" w:before="120" w:afterLines="50" w:after="120" w:line="240" w:lineRule="auto"/>
              <w:ind w:firstLine="480"/>
              <w:jc w:val="left"/>
              <w:rPr>
                <w:rFonts w:eastAsia="宋体"/>
                <w:sz w:val="24"/>
                <w:szCs w:val="24"/>
              </w:rPr>
            </w:pPr>
          </w:p>
        </w:tc>
      </w:tr>
      <w:tr w:rsidR="005F3BF6" w14:paraId="072D6978" w14:textId="77777777" w:rsidTr="006E777B">
        <w:trPr>
          <w:trHeight w:val="680"/>
          <w:jc w:val="center"/>
        </w:trPr>
        <w:tc>
          <w:tcPr>
            <w:tcW w:w="764" w:type="dxa"/>
            <w:vAlign w:val="center"/>
          </w:tcPr>
          <w:p w14:paraId="48DEF099"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7.1</w:t>
            </w:r>
          </w:p>
        </w:tc>
        <w:tc>
          <w:tcPr>
            <w:tcW w:w="4189" w:type="dxa"/>
            <w:vAlign w:val="center"/>
          </w:tcPr>
          <w:p w14:paraId="2BC1067C"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姓名</w:t>
            </w:r>
          </w:p>
          <w:p w14:paraId="272281EA"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Name</w:t>
            </w:r>
          </w:p>
        </w:tc>
        <w:tc>
          <w:tcPr>
            <w:tcW w:w="3421" w:type="dxa"/>
            <w:vAlign w:val="center"/>
          </w:tcPr>
          <w:p w14:paraId="71DEB0B1"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r w:rsidR="005F3BF6" w14:paraId="0346C415" w14:textId="77777777" w:rsidTr="006E777B">
        <w:trPr>
          <w:trHeight w:val="680"/>
          <w:jc w:val="center"/>
        </w:trPr>
        <w:tc>
          <w:tcPr>
            <w:tcW w:w="764" w:type="dxa"/>
            <w:vAlign w:val="center"/>
          </w:tcPr>
          <w:p w14:paraId="7433DB1C"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7.2</w:t>
            </w:r>
          </w:p>
        </w:tc>
        <w:tc>
          <w:tcPr>
            <w:tcW w:w="4189" w:type="dxa"/>
            <w:vAlign w:val="center"/>
          </w:tcPr>
          <w:p w14:paraId="0469BC0F"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电话</w:t>
            </w:r>
          </w:p>
          <w:p w14:paraId="67603ABA"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Tel.</w:t>
            </w:r>
          </w:p>
        </w:tc>
        <w:tc>
          <w:tcPr>
            <w:tcW w:w="3421" w:type="dxa"/>
            <w:vAlign w:val="center"/>
          </w:tcPr>
          <w:p w14:paraId="71B9E302"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r w:rsidR="005F3BF6" w14:paraId="4D6479F5" w14:textId="77777777" w:rsidTr="006E777B">
        <w:trPr>
          <w:trHeight w:val="498"/>
          <w:jc w:val="center"/>
        </w:trPr>
        <w:tc>
          <w:tcPr>
            <w:tcW w:w="764" w:type="dxa"/>
            <w:vAlign w:val="center"/>
          </w:tcPr>
          <w:p w14:paraId="4CDD12F3"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7.3</w:t>
            </w:r>
          </w:p>
        </w:tc>
        <w:tc>
          <w:tcPr>
            <w:tcW w:w="4189" w:type="dxa"/>
            <w:vAlign w:val="center"/>
          </w:tcPr>
          <w:p w14:paraId="582CCC65"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电子邮箱</w:t>
            </w:r>
          </w:p>
          <w:p w14:paraId="49AA208C"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lastRenderedPageBreak/>
              <w:t>Email</w:t>
            </w:r>
          </w:p>
        </w:tc>
        <w:tc>
          <w:tcPr>
            <w:tcW w:w="3421" w:type="dxa"/>
            <w:vAlign w:val="center"/>
          </w:tcPr>
          <w:p w14:paraId="1EAF7D3E"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r w:rsidR="005F3BF6" w14:paraId="4E036F55" w14:textId="77777777" w:rsidTr="006E777B">
        <w:trPr>
          <w:trHeight w:val="680"/>
          <w:jc w:val="center"/>
        </w:trPr>
        <w:tc>
          <w:tcPr>
            <w:tcW w:w="764" w:type="dxa"/>
            <w:vAlign w:val="center"/>
          </w:tcPr>
          <w:p w14:paraId="22A77BF4"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7.4</w:t>
            </w:r>
          </w:p>
        </w:tc>
        <w:tc>
          <w:tcPr>
            <w:tcW w:w="4189" w:type="dxa"/>
            <w:vAlign w:val="center"/>
          </w:tcPr>
          <w:p w14:paraId="0E4B1237"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通讯地址</w:t>
            </w:r>
          </w:p>
          <w:p w14:paraId="710681E6" w14:textId="77777777" w:rsidR="005F3BF6" w:rsidRDefault="005F3BF6" w:rsidP="006E777B">
            <w:pPr>
              <w:overflowPunct w:val="0"/>
              <w:spacing w:beforeLines="50" w:before="120" w:afterLines="50" w:after="120" w:line="240" w:lineRule="auto"/>
              <w:ind w:firstLineChars="0" w:firstLine="0"/>
              <w:jc w:val="left"/>
              <w:rPr>
                <w:rFonts w:eastAsia="宋体"/>
                <w:sz w:val="24"/>
                <w:szCs w:val="24"/>
              </w:rPr>
            </w:pPr>
            <w:r>
              <w:rPr>
                <w:rFonts w:eastAsia="宋体"/>
                <w:sz w:val="24"/>
                <w:szCs w:val="24"/>
              </w:rPr>
              <w:t>Address</w:t>
            </w:r>
          </w:p>
        </w:tc>
        <w:tc>
          <w:tcPr>
            <w:tcW w:w="3421" w:type="dxa"/>
            <w:vAlign w:val="center"/>
          </w:tcPr>
          <w:p w14:paraId="21B23E0E" w14:textId="77777777" w:rsidR="005F3BF6" w:rsidRDefault="005F3BF6" w:rsidP="006E777B">
            <w:pPr>
              <w:overflowPunct w:val="0"/>
              <w:spacing w:beforeLines="50" w:before="120" w:afterLines="50" w:after="120" w:line="240" w:lineRule="auto"/>
              <w:ind w:firstLineChars="0" w:firstLine="0"/>
              <w:rPr>
                <w:rFonts w:eastAsia="宋体"/>
                <w:sz w:val="24"/>
                <w:szCs w:val="24"/>
              </w:rPr>
            </w:pPr>
          </w:p>
        </w:tc>
      </w:tr>
    </w:tbl>
    <w:p w14:paraId="74D2FE52" w14:textId="77777777" w:rsidR="005F3BF6" w:rsidRDefault="005F3BF6" w:rsidP="005F3BF6">
      <w:pPr>
        <w:overflowPunct w:val="0"/>
        <w:spacing w:beforeLines="50" w:before="120" w:afterLines="50" w:after="120" w:line="240" w:lineRule="auto"/>
        <w:ind w:firstLine="480"/>
        <w:rPr>
          <w:rFonts w:eastAsia="宋体"/>
          <w:sz w:val="24"/>
          <w:szCs w:val="24"/>
        </w:rPr>
      </w:pPr>
      <w:r>
        <w:rPr>
          <w:rFonts w:eastAsia="宋体"/>
          <w:sz w:val="24"/>
          <w:szCs w:val="24"/>
        </w:rPr>
        <w:t>注</w:t>
      </w:r>
      <w:bookmarkStart w:id="0" w:name="OLE_LINK3"/>
      <w:r>
        <w:rPr>
          <w:rFonts w:eastAsia="宋体"/>
          <w:sz w:val="24"/>
          <w:szCs w:val="24"/>
        </w:rPr>
        <w:t>：如为联合体登记的，增加登记申请表中序号</w:t>
      </w:r>
      <w:r>
        <w:rPr>
          <w:rFonts w:eastAsia="宋体"/>
          <w:sz w:val="24"/>
          <w:szCs w:val="24"/>
        </w:rPr>
        <w:t>1-5</w:t>
      </w:r>
      <w:r>
        <w:rPr>
          <w:rFonts w:eastAsia="宋体"/>
          <w:sz w:val="24"/>
          <w:szCs w:val="24"/>
        </w:rPr>
        <w:t>项的表格，按照联合体牵头单位、联合体成员单位的顺序填写相关信息。</w:t>
      </w:r>
      <w:bookmarkEnd w:id="0"/>
    </w:p>
    <w:p w14:paraId="5D7385F3" w14:textId="77777777" w:rsidR="005F3BF6" w:rsidRDefault="005F3BF6" w:rsidP="005F3BF6">
      <w:pPr>
        <w:overflowPunct w:val="0"/>
        <w:spacing w:beforeLines="50" w:before="120" w:afterLines="50" w:after="120" w:line="240" w:lineRule="auto"/>
        <w:ind w:firstLine="480"/>
        <w:rPr>
          <w:rFonts w:eastAsia="宋体"/>
          <w:sz w:val="24"/>
          <w:szCs w:val="24"/>
        </w:rPr>
      </w:pPr>
      <w:r>
        <w:rPr>
          <w:rFonts w:eastAsia="宋体"/>
          <w:sz w:val="24"/>
          <w:szCs w:val="24"/>
        </w:rPr>
        <w:t xml:space="preserve">Note: Consortium applicant may add rows for items 1-5 to provide information of all its members, with the information of the lead party to be firstly filled out. </w:t>
      </w:r>
    </w:p>
    <w:p w14:paraId="33E6A65A" w14:textId="77777777" w:rsidR="005F3BF6" w:rsidRDefault="005F3BF6" w:rsidP="005F3BF6">
      <w:pPr>
        <w:pStyle w:val="1"/>
        <w:keepNext w:val="0"/>
        <w:keepLines w:val="0"/>
        <w:overflowPunct w:val="0"/>
        <w:spacing w:beforeLines="50" w:before="120" w:afterLines="50" w:after="120" w:line="240" w:lineRule="auto"/>
        <w:ind w:firstLineChars="0" w:firstLine="0"/>
        <w:rPr>
          <w:rFonts w:eastAsia="宋体"/>
          <w:sz w:val="24"/>
          <w:szCs w:val="24"/>
        </w:rPr>
      </w:pPr>
    </w:p>
    <w:p w14:paraId="328893D4" w14:textId="77777777" w:rsidR="005F3BF6" w:rsidRDefault="005F3BF6" w:rsidP="005F3BF6">
      <w:pPr>
        <w:pStyle w:val="1"/>
        <w:keepNext w:val="0"/>
        <w:keepLines w:val="0"/>
        <w:overflowPunct w:val="0"/>
        <w:spacing w:beforeLines="50" w:before="120" w:afterLines="50" w:after="120" w:line="240" w:lineRule="auto"/>
        <w:ind w:firstLineChars="0" w:firstLine="0"/>
        <w:rPr>
          <w:rFonts w:eastAsia="宋体"/>
          <w:sz w:val="24"/>
          <w:szCs w:val="24"/>
        </w:rPr>
      </w:pPr>
      <w:r>
        <w:rPr>
          <w:rFonts w:eastAsia="宋体"/>
          <w:color w:val="auto"/>
          <w:sz w:val="24"/>
          <w:szCs w:val="24"/>
        </w:rPr>
        <w:t>附件</w:t>
      </w:r>
      <w:r>
        <w:rPr>
          <w:rFonts w:eastAsia="宋体"/>
          <w:color w:val="auto"/>
          <w:sz w:val="24"/>
          <w:szCs w:val="24"/>
        </w:rPr>
        <w:t>2</w:t>
      </w:r>
    </w:p>
    <w:p w14:paraId="3C9BEA48" w14:textId="77777777" w:rsidR="005F3BF6" w:rsidRDefault="005F3BF6" w:rsidP="005F3BF6">
      <w:pPr>
        <w:pStyle w:val="1"/>
        <w:keepNext w:val="0"/>
        <w:keepLines w:val="0"/>
        <w:overflowPunct w:val="0"/>
        <w:spacing w:beforeLines="50" w:before="120" w:afterLines="50" w:after="120" w:line="240" w:lineRule="auto"/>
        <w:ind w:firstLineChars="0" w:firstLine="0"/>
        <w:rPr>
          <w:rFonts w:eastAsia="宋体"/>
          <w:sz w:val="24"/>
          <w:szCs w:val="24"/>
        </w:rPr>
      </w:pPr>
      <w:r>
        <w:rPr>
          <w:rFonts w:eastAsia="宋体"/>
          <w:color w:val="auto"/>
          <w:sz w:val="24"/>
          <w:szCs w:val="24"/>
        </w:rPr>
        <w:t>Appendix 2</w:t>
      </w:r>
    </w:p>
    <w:p w14:paraId="4477A3D3" w14:textId="77777777" w:rsidR="005F3BF6" w:rsidRDefault="005F3BF6" w:rsidP="005F3BF6">
      <w:pPr>
        <w:pStyle w:val="1"/>
        <w:keepNext w:val="0"/>
        <w:keepLines w:val="0"/>
        <w:overflowPunct w:val="0"/>
        <w:spacing w:beforeLines="50" w:before="120" w:afterLines="50" w:after="120" w:line="240" w:lineRule="auto"/>
        <w:ind w:firstLineChars="0" w:firstLine="0"/>
        <w:rPr>
          <w:rFonts w:eastAsia="宋体"/>
          <w:sz w:val="24"/>
          <w:szCs w:val="24"/>
        </w:rPr>
      </w:pPr>
    </w:p>
    <w:p w14:paraId="3CD49D0F" w14:textId="77777777" w:rsidR="005F3BF6" w:rsidRDefault="005F3BF6" w:rsidP="005F3BF6">
      <w:pPr>
        <w:overflowPunct w:val="0"/>
        <w:spacing w:beforeLines="50" w:before="120" w:afterLines="50" w:after="120" w:line="240" w:lineRule="auto"/>
        <w:ind w:firstLineChars="0" w:firstLine="0"/>
        <w:jc w:val="center"/>
        <w:rPr>
          <w:rFonts w:eastAsia="宋体"/>
          <w:bCs/>
          <w:sz w:val="24"/>
          <w:szCs w:val="24"/>
        </w:rPr>
      </w:pPr>
      <w:r>
        <w:rPr>
          <w:rFonts w:eastAsia="宋体"/>
          <w:bCs/>
          <w:sz w:val="24"/>
          <w:szCs w:val="24"/>
        </w:rPr>
        <w:t>保密承诺函</w:t>
      </w:r>
    </w:p>
    <w:p w14:paraId="439A2642" w14:textId="77777777" w:rsidR="005F3BF6" w:rsidRDefault="005F3BF6" w:rsidP="005F3BF6">
      <w:pPr>
        <w:overflowPunct w:val="0"/>
        <w:spacing w:beforeLines="50" w:before="120" w:afterLines="50" w:after="120" w:line="240" w:lineRule="auto"/>
        <w:ind w:firstLineChars="0" w:firstLine="0"/>
        <w:jc w:val="center"/>
        <w:rPr>
          <w:rFonts w:eastAsia="宋体"/>
          <w:b/>
          <w:sz w:val="24"/>
          <w:szCs w:val="24"/>
        </w:rPr>
      </w:pPr>
      <w:r>
        <w:rPr>
          <w:rFonts w:eastAsia="宋体"/>
          <w:b/>
          <w:sz w:val="24"/>
          <w:szCs w:val="24"/>
        </w:rPr>
        <w:t>Confidentiality Commitment Letter</w:t>
      </w:r>
    </w:p>
    <w:p w14:paraId="0BBA9BB4" w14:textId="77777777" w:rsidR="005F3BF6" w:rsidRDefault="005F3BF6" w:rsidP="005F3BF6">
      <w:pPr>
        <w:overflowPunct w:val="0"/>
        <w:spacing w:beforeLines="50" w:before="120" w:afterLines="50" w:after="120" w:line="240" w:lineRule="auto"/>
        <w:ind w:firstLine="482"/>
        <w:jc w:val="center"/>
        <w:rPr>
          <w:rFonts w:eastAsia="宋体"/>
          <w:b/>
          <w:sz w:val="24"/>
          <w:szCs w:val="24"/>
        </w:rPr>
      </w:pPr>
    </w:p>
    <w:p w14:paraId="10F4072F" w14:textId="77777777" w:rsidR="005F3BF6" w:rsidRDefault="005F3BF6" w:rsidP="005F3BF6">
      <w:pPr>
        <w:pStyle w:val="Default"/>
        <w:overflowPunct w:val="0"/>
        <w:spacing w:beforeLines="50" w:before="120" w:afterLines="50" w:after="120"/>
        <w:rPr>
          <w:rFonts w:ascii="Times New Roman" w:eastAsia="宋体" w:hAnsi="Times New Roman" w:cs="Times New Roman"/>
          <w:color w:val="auto"/>
        </w:rPr>
      </w:pPr>
      <w:r>
        <w:rPr>
          <w:rFonts w:ascii="Times New Roman" w:eastAsia="宋体" w:hAnsi="Times New Roman" w:cs="Times New Roman"/>
          <w:color w:val="auto"/>
        </w:rPr>
        <w:t>致：广州市规划和自然资源局白云区分局、广州白云产业投资集团有限公司</w:t>
      </w:r>
    </w:p>
    <w:p w14:paraId="7CC451CA" w14:textId="77777777" w:rsidR="005F3BF6" w:rsidRDefault="005F3BF6" w:rsidP="005F3BF6">
      <w:pPr>
        <w:widowControl/>
        <w:overflowPunct w:val="0"/>
        <w:spacing w:beforeLines="50" w:before="120" w:afterLines="50" w:after="120" w:line="240" w:lineRule="auto"/>
        <w:ind w:firstLineChars="0" w:firstLine="0"/>
        <w:jc w:val="left"/>
        <w:rPr>
          <w:rFonts w:eastAsia="宋体"/>
          <w:sz w:val="24"/>
          <w:szCs w:val="24"/>
        </w:rPr>
      </w:pPr>
      <w:r>
        <w:rPr>
          <w:rFonts w:eastAsia="宋体"/>
          <w:sz w:val="24"/>
          <w:szCs w:val="24"/>
        </w:rPr>
        <w:t xml:space="preserve">To </w:t>
      </w:r>
      <w:proofErr w:type="spellStart"/>
      <w:r>
        <w:rPr>
          <w:rFonts w:eastAsia="宋体" w:hint="eastAsia"/>
          <w:sz w:val="24"/>
          <w:szCs w:val="24"/>
        </w:rPr>
        <w:t>Baiyun</w:t>
      </w:r>
      <w:proofErr w:type="spellEnd"/>
      <w:r>
        <w:rPr>
          <w:rFonts w:eastAsia="宋体" w:hint="eastAsia"/>
          <w:sz w:val="24"/>
          <w:szCs w:val="24"/>
        </w:rPr>
        <w:t xml:space="preserve"> District Branch of Guangzhou Municipal Planning and Natural Resources Bureau</w:t>
      </w:r>
      <w:r>
        <w:rPr>
          <w:rFonts w:eastAsia="宋体"/>
          <w:sz w:val="24"/>
          <w:szCs w:val="24"/>
        </w:rPr>
        <w:t xml:space="preserve">, Guangzhou </w:t>
      </w:r>
      <w:proofErr w:type="spellStart"/>
      <w:r>
        <w:rPr>
          <w:rFonts w:eastAsia="宋体"/>
          <w:sz w:val="24"/>
          <w:szCs w:val="24"/>
        </w:rPr>
        <w:t>Baiyun</w:t>
      </w:r>
      <w:proofErr w:type="spellEnd"/>
      <w:r>
        <w:rPr>
          <w:rFonts w:eastAsia="宋体"/>
          <w:sz w:val="24"/>
          <w:szCs w:val="24"/>
        </w:rPr>
        <w:t xml:space="preserve"> Industrial Investment Group Co., Ltd.</w:t>
      </w:r>
    </w:p>
    <w:p w14:paraId="1282A9AC" w14:textId="77777777" w:rsidR="005F3BF6" w:rsidRDefault="005F3BF6" w:rsidP="005F3BF6">
      <w:pPr>
        <w:widowControl/>
        <w:overflowPunct w:val="0"/>
        <w:spacing w:beforeLines="50" w:before="120" w:afterLines="50" w:after="120" w:line="240" w:lineRule="auto"/>
        <w:ind w:firstLine="480"/>
        <w:rPr>
          <w:rFonts w:eastAsia="宋体"/>
          <w:kern w:val="0"/>
          <w:sz w:val="24"/>
          <w:szCs w:val="24"/>
        </w:rPr>
      </w:pPr>
      <w:bookmarkStart w:id="1" w:name="OLE_LINK1"/>
      <w:r>
        <w:rPr>
          <w:rFonts w:eastAsia="宋体"/>
          <w:kern w:val="0"/>
          <w:sz w:val="24"/>
          <w:szCs w:val="24"/>
        </w:rPr>
        <w:t>我方就即将参与</w:t>
      </w:r>
      <w:r>
        <w:rPr>
          <w:rFonts w:eastAsia="宋体"/>
          <w:kern w:val="0"/>
          <w:sz w:val="24"/>
          <w:szCs w:val="24"/>
          <w:u w:val="single"/>
        </w:rPr>
        <w:t xml:space="preserve"> </w:t>
      </w:r>
      <w:r>
        <w:rPr>
          <w:rFonts w:eastAsia="宋体"/>
          <w:kern w:val="0"/>
          <w:sz w:val="24"/>
          <w:szCs w:val="24"/>
          <w:u w:val="single"/>
        </w:rPr>
        <w:t>广州湾区中央法</w:t>
      </w:r>
      <w:proofErr w:type="gramStart"/>
      <w:r>
        <w:rPr>
          <w:rFonts w:eastAsia="宋体"/>
          <w:kern w:val="0"/>
          <w:sz w:val="24"/>
          <w:szCs w:val="24"/>
          <w:u w:val="single"/>
        </w:rPr>
        <w:t>务</w:t>
      </w:r>
      <w:proofErr w:type="gramEnd"/>
      <w:r>
        <w:rPr>
          <w:rFonts w:eastAsia="宋体"/>
          <w:kern w:val="0"/>
          <w:sz w:val="24"/>
          <w:szCs w:val="24"/>
          <w:u w:val="single"/>
        </w:rPr>
        <w:t>区中心区（白云）三期城市设计竞赛</w:t>
      </w:r>
      <w:r>
        <w:rPr>
          <w:rFonts w:eastAsia="宋体"/>
          <w:kern w:val="0"/>
          <w:sz w:val="24"/>
          <w:szCs w:val="24"/>
          <w:u w:val="single"/>
        </w:rPr>
        <w:t xml:space="preserve"> </w:t>
      </w:r>
      <w:r>
        <w:rPr>
          <w:rFonts w:eastAsia="宋体"/>
          <w:kern w:val="0"/>
          <w:sz w:val="24"/>
          <w:szCs w:val="24"/>
        </w:rPr>
        <w:t>所获得的相关资料，在此</w:t>
      </w:r>
      <w:proofErr w:type="gramStart"/>
      <w:r>
        <w:rPr>
          <w:rFonts w:eastAsia="宋体"/>
          <w:kern w:val="0"/>
          <w:sz w:val="24"/>
          <w:szCs w:val="24"/>
        </w:rPr>
        <w:t>作出</w:t>
      </w:r>
      <w:proofErr w:type="gramEnd"/>
      <w:r>
        <w:rPr>
          <w:rFonts w:eastAsia="宋体"/>
          <w:kern w:val="0"/>
          <w:sz w:val="24"/>
          <w:szCs w:val="24"/>
        </w:rPr>
        <w:t>保密承诺如下：</w:t>
      </w:r>
      <w:bookmarkEnd w:id="1"/>
    </w:p>
    <w:p w14:paraId="39B3E58E" w14:textId="77777777" w:rsidR="005F3BF6" w:rsidRDefault="005F3BF6" w:rsidP="005F3BF6">
      <w:pPr>
        <w:pStyle w:val="Default"/>
        <w:overflowPunct w:val="0"/>
        <w:spacing w:beforeLines="50" w:before="120" w:afterLines="50" w:after="120"/>
        <w:ind w:firstLineChars="200" w:firstLine="480"/>
        <w:rPr>
          <w:rFonts w:ascii="Times New Roman" w:eastAsia="宋体" w:hAnsi="Times New Roman" w:cs="Times New Roman"/>
          <w:i/>
          <w:iCs/>
          <w:color w:val="auto"/>
          <w:kern w:val="2"/>
          <w:u w:val="single"/>
        </w:rPr>
      </w:pPr>
      <w:r>
        <w:rPr>
          <w:rFonts w:ascii="Times New Roman" w:eastAsia="宋体" w:hAnsi="Times New Roman" w:cs="Times New Roman"/>
          <w:color w:val="auto"/>
          <w:kern w:val="2"/>
        </w:rPr>
        <w:t xml:space="preserve">Concerning the relevant information obtained from </w:t>
      </w:r>
      <w:r>
        <w:rPr>
          <w:rFonts w:ascii="Times New Roman" w:eastAsia="宋体" w:hAnsi="Times New Roman" w:cs="Times New Roman"/>
          <w:color w:val="auto"/>
          <w:kern w:val="2"/>
          <w:u w:val="single"/>
        </w:rPr>
        <w:t xml:space="preserve">the </w:t>
      </w:r>
      <w:r>
        <w:rPr>
          <w:rFonts w:ascii="Times New Roman" w:eastAsia="宋体" w:hAnsi="Times New Roman" w:cs="Times New Roman"/>
          <w:i/>
          <w:iCs/>
          <w:color w:val="auto"/>
        </w:rPr>
        <w:t xml:space="preserve">Urban Design Competition for Phase III of </w:t>
      </w:r>
      <w:proofErr w:type="spellStart"/>
      <w:r>
        <w:rPr>
          <w:rFonts w:ascii="Times New Roman" w:eastAsia="宋体" w:hAnsi="Times New Roman" w:cs="Times New Roman"/>
          <w:i/>
          <w:iCs/>
          <w:color w:val="auto"/>
        </w:rPr>
        <w:t>Baiyun</w:t>
      </w:r>
      <w:proofErr w:type="spellEnd"/>
      <w:r>
        <w:rPr>
          <w:rFonts w:ascii="Times New Roman" w:eastAsia="宋体" w:hAnsi="Times New Roman" w:cs="Times New Roman"/>
          <w:i/>
          <w:iCs/>
          <w:color w:val="auto"/>
        </w:rPr>
        <w:t xml:space="preserve"> Central District of the Greater Bay Area Guangzhou Central Legal Services District</w:t>
      </w:r>
      <w:r>
        <w:rPr>
          <w:rFonts w:ascii="Times New Roman" w:eastAsia="宋体" w:hAnsi="Times New Roman" w:cs="Times New Roman"/>
          <w:color w:val="auto"/>
          <w:kern w:val="2"/>
        </w:rPr>
        <w:t>, we hereby make the confidentiality commitments as follows:</w:t>
      </w:r>
    </w:p>
    <w:p w14:paraId="457A49A9" w14:textId="77777777" w:rsidR="005F3BF6" w:rsidRDefault="005F3BF6" w:rsidP="005F3BF6">
      <w:pPr>
        <w:widowControl/>
        <w:overflowPunct w:val="0"/>
        <w:spacing w:beforeLines="50" w:before="120" w:afterLines="50" w:after="120" w:line="240" w:lineRule="auto"/>
        <w:ind w:firstLine="480"/>
        <w:rPr>
          <w:rFonts w:eastAsia="宋体"/>
          <w:kern w:val="0"/>
          <w:sz w:val="24"/>
          <w:szCs w:val="24"/>
        </w:rPr>
      </w:pPr>
      <w:r>
        <w:rPr>
          <w:rFonts w:eastAsia="宋体"/>
          <w:kern w:val="0"/>
          <w:sz w:val="24"/>
          <w:szCs w:val="24"/>
        </w:rPr>
        <w:t>我方承诺将妥善保管与本项目有关或因本项目产生的所有文件，包括但不限于项目数据、技术秘密、工作方案、会议资料、相关协议、补遗资料等，并严格保密。确保不会通过直接或间接的方式由我方工作人员（包括正式员工、临时员工及实习生）造成资料或信息的泄露，也不会将相关资料用于本次竞赛以外的任何用途。我方承诺若因我方原因造成本次竞赛文件资料泄露等情况带来的损失赔偿责任和法律责任，均由我方全权承担。</w:t>
      </w:r>
    </w:p>
    <w:p w14:paraId="7F68A066" w14:textId="77777777" w:rsidR="005F3BF6" w:rsidRDefault="005F3BF6" w:rsidP="005F3BF6">
      <w:pPr>
        <w:widowControl/>
        <w:overflowPunct w:val="0"/>
        <w:spacing w:beforeLines="50" w:before="120" w:afterLines="50" w:after="120" w:line="240" w:lineRule="auto"/>
        <w:ind w:firstLine="480"/>
        <w:jc w:val="left"/>
        <w:rPr>
          <w:rFonts w:eastAsia="宋体"/>
          <w:sz w:val="24"/>
          <w:szCs w:val="24"/>
        </w:rPr>
      </w:pPr>
      <w:r>
        <w:rPr>
          <w:rFonts w:eastAsia="宋体"/>
          <w:sz w:val="24"/>
          <w:szCs w:val="24"/>
        </w:rPr>
        <w:t xml:space="preserve">We promise to properly keep all documents, including but not limited to project data, technical know-how, work plans, meeting materials, relevant agreements, and supplementary materials relating to or arising from the project, and keep the same strictly confidential. We will ensure that our personnel (including permanent staff, temporary staff, and interns) will not directly or indirectly cause the disclosure of any data or information, nor use the relevant data for any purpose other than for the urban design competition. We </w:t>
      </w:r>
      <w:r>
        <w:rPr>
          <w:rFonts w:eastAsia="宋体"/>
          <w:sz w:val="24"/>
          <w:szCs w:val="24"/>
        </w:rPr>
        <w:lastRenderedPageBreak/>
        <w:t>promise that we will be fully responsible for any losses, compensation, and legal liabilities resulting from information disclosure due to any reason attributable to us.</w:t>
      </w:r>
    </w:p>
    <w:p w14:paraId="6BDE583F" w14:textId="77777777" w:rsidR="005F3BF6" w:rsidRDefault="005F3BF6" w:rsidP="005F3BF6">
      <w:pPr>
        <w:widowControl/>
        <w:overflowPunct w:val="0"/>
        <w:spacing w:beforeLines="50" w:before="120" w:afterLines="50" w:after="120" w:line="240" w:lineRule="auto"/>
        <w:ind w:firstLine="480"/>
        <w:jc w:val="left"/>
        <w:rPr>
          <w:rFonts w:eastAsia="宋体"/>
          <w:kern w:val="0"/>
          <w:sz w:val="24"/>
          <w:szCs w:val="24"/>
        </w:rPr>
      </w:pPr>
      <w:r>
        <w:rPr>
          <w:rFonts w:eastAsia="宋体"/>
          <w:kern w:val="0"/>
          <w:sz w:val="24"/>
          <w:szCs w:val="24"/>
        </w:rPr>
        <w:t>中、英文文本不一致的，以中文文本为准。</w:t>
      </w:r>
    </w:p>
    <w:p w14:paraId="4BEC5801" w14:textId="77777777" w:rsidR="005F3BF6" w:rsidRDefault="005F3BF6" w:rsidP="005F3BF6">
      <w:pPr>
        <w:widowControl/>
        <w:overflowPunct w:val="0"/>
        <w:spacing w:beforeLines="50" w:before="120" w:afterLines="50" w:after="120" w:line="240" w:lineRule="auto"/>
        <w:ind w:firstLine="480"/>
        <w:jc w:val="left"/>
        <w:rPr>
          <w:rFonts w:eastAsia="宋体"/>
          <w:sz w:val="24"/>
          <w:szCs w:val="24"/>
        </w:rPr>
      </w:pPr>
      <w:r>
        <w:rPr>
          <w:rFonts w:eastAsia="宋体"/>
          <w:sz w:val="24"/>
          <w:szCs w:val="24"/>
        </w:rPr>
        <w:t xml:space="preserve">If the Chinese and English versions are inconsistent, the Chinese version shall prevail. </w:t>
      </w:r>
    </w:p>
    <w:p w14:paraId="44F90697" w14:textId="77777777" w:rsidR="005F3BF6" w:rsidRDefault="005F3BF6" w:rsidP="005F3BF6">
      <w:pPr>
        <w:widowControl/>
        <w:overflowPunct w:val="0"/>
        <w:spacing w:beforeLines="50" w:before="120" w:afterLines="50" w:after="120" w:line="240" w:lineRule="auto"/>
        <w:ind w:firstLine="480"/>
        <w:rPr>
          <w:rFonts w:eastAsia="宋体"/>
          <w:kern w:val="0"/>
          <w:sz w:val="24"/>
          <w:szCs w:val="24"/>
        </w:rPr>
      </w:pPr>
      <w:r>
        <w:rPr>
          <w:rFonts w:eastAsia="宋体"/>
          <w:kern w:val="0"/>
          <w:sz w:val="24"/>
          <w:szCs w:val="24"/>
        </w:rPr>
        <w:t>特此函告！</w:t>
      </w:r>
    </w:p>
    <w:p w14:paraId="207E9BBC" w14:textId="77777777" w:rsidR="005F3BF6" w:rsidRDefault="005F3BF6" w:rsidP="005F3BF6">
      <w:pPr>
        <w:widowControl/>
        <w:overflowPunct w:val="0"/>
        <w:spacing w:beforeLines="50" w:before="120" w:afterLines="50" w:after="120" w:line="240" w:lineRule="auto"/>
        <w:ind w:firstLine="480"/>
        <w:jc w:val="left"/>
        <w:rPr>
          <w:rFonts w:eastAsia="宋体"/>
          <w:sz w:val="24"/>
          <w:szCs w:val="24"/>
        </w:rPr>
      </w:pPr>
      <w:r>
        <w:rPr>
          <w:rFonts w:eastAsia="宋体"/>
          <w:sz w:val="24"/>
          <w:szCs w:val="24"/>
        </w:rPr>
        <w:t xml:space="preserve">The commitments are hereby made. </w:t>
      </w:r>
    </w:p>
    <w:p w14:paraId="34293CB6" w14:textId="77777777" w:rsidR="005F3BF6" w:rsidRDefault="005F3BF6" w:rsidP="005F3BF6">
      <w:pPr>
        <w:widowControl/>
        <w:overflowPunct w:val="0"/>
        <w:spacing w:beforeLines="50" w:before="120" w:afterLines="50" w:after="120" w:line="240" w:lineRule="auto"/>
        <w:ind w:firstLine="480"/>
        <w:jc w:val="left"/>
        <w:rPr>
          <w:rFonts w:eastAsia="宋体"/>
          <w:kern w:val="0"/>
          <w:sz w:val="24"/>
          <w:szCs w:val="24"/>
        </w:rPr>
      </w:pPr>
    </w:p>
    <w:p w14:paraId="2D0ADB8C" w14:textId="77777777" w:rsidR="005F3BF6" w:rsidRDefault="005F3BF6" w:rsidP="005F3BF6">
      <w:pPr>
        <w:widowControl/>
        <w:overflowPunct w:val="0"/>
        <w:spacing w:beforeLines="50" w:before="120" w:afterLines="50" w:after="120" w:line="240" w:lineRule="auto"/>
        <w:ind w:firstLine="480"/>
        <w:jc w:val="left"/>
        <w:rPr>
          <w:rFonts w:eastAsia="宋体"/>
          <w:kern w:val="0"/>
          <w:sz w:val="24"/>
          <w:szCs w:val="24"/>
        </w:rPr>
      </w:pPr>
      <w:r>
        <w:rPr>
          <w:rFonts w:eastAsia="宋体"/>
          <w:kern w:val="0"/>
          <w:sz w:val="24"/>
          <w:szCs w:val="24"/>
        </w:rPr>
        <w:t>应征机构（所有联合体成员）（盖章）：</w:t>
      </w:r>
    </w:p>
    <w:p w14:paraId="14956400" w14:textId="77777777" w:rsidR="005F3BF6" w:rsidRDefault="005F3BF6" w:rsidP="005F3BF6">
      <w:pPr>
        <w:widowControl/>
        <w:overflowPunct w:val="0"/>
        <w:spacing w:beforeLines="50" w:before="120" w:afterLines="50" w:after="120" w:line="240" w:lineRule="auto"/>
        <w:ind w:firstLine="480"/>
        <w:jc w:val="left"/>
        <w:rPr>
          <w:rFonts w:eastAsia="宋体"/>
          <w:sz w:val="24"/>
          <w:szCs w:val="24"/>
        </w:rPr>
      </w:pPr>
      <w:r>
        <w:rPr>
          <w:rFonts w:eastAsia="宋体"/>
          <w:sz w:val="24"/>
          <w:szCs w:val="24"/>
        </w:rPr>
        <w:t>Applicant (all members of the consortium) (</w:t>
      </w:r>
      <w:bookmarkStart w:id="2" w:name="OLE_LINK56"/>
      <w:bookmarkStart w:id="3" w:name="OLE_LINK44"/>
      <w:r>
        <w:rPr>
          <w:rFonts w:eastAsia="宋体"/>
          <w:sz w:val="24"/>
          <w:szCs w:val="24"/>
        </w:rPr>
        <w:t>Seal</w:t>
      </w:r>
      <w:bookmarkEnd w:id="2"/>
      <w:bookmarkEnd w:id="3"/>
      <w:r>
        <w:rPr>
          <w:rFonts w:eastAsia="宋体"/>
          <w:sz w:val="24"/>
          <w:szCs w:val="24"/>
        </w:rPr>
        <w:t>(s)):</w:t>
      </w:r>
    </w:p>
    <w:p w14:paraId="422A1B2F" w14:textId="77777777" w:rsidR="005F3BF6" w:rsidRDefault="005F3BF6" w:rsidP="005F3BF6">
      <w:pPr>
        <w:widowControl/>
        <w:overflowPunct w:val="0"/>
        <w:spacing w:beforeLines="50" w:before="120" w:afterLines="50" w:after="120" w:line="240" w:lineRule="auto"/>
        <w:ind w:firstLine="480"/>
        <w:jc w:val="left"/>
        <w:rPr>
          <w:rFonts w:eastAsia="宋体"/>
          <w:kern w:val="0"/>
          <w:sz w:val="24"/>
          <w:szCs w:val="24"/>
        </w:rPr>
      </w:pPr>
    </w:p>
    <w:p w14:paraId="6461A2FA" w14:textId="77777777" w:rsidR="005F3BF6" w:rsidRDefault="005F3BF6" w:rsidP="005F3BF6">
      <w:pPr>
        <w:widowControl/>
        <w:overflowPunct w:val="0"/>
        <w:spacing w:beforeLines="50" w:before="120" w:afterLines="50" w:after="120" w:line="240" w:lineRule="auto"/>
        <w:ind w:firstLine="480"/>
        <w:jc w:val="left"/>
        <w:rPr>
          <w:rFonts w:eastAsia="宋体"/>
          <w:kern w:val="0"/>
          <w:sz w:val="24"/>
          <w:szCs w:val="24"/>
        </w:rPr>
      </w:pPr>
      <w:r>
        <w:rPr>
          <w:rFonts w:eastAsia="宋体"/>
          <w:kern w:val="0"/>
          <w:sz w:val="24"/>
          <w:szCs w:val="24"/>
        </w:rPr>
        <w:t>法定代表人（所有联合体成员）（签字或盖章）：</w:t>
      </w:r>
    </w:p>
    <w:p w14:paraId="10B646E9" w14:textId="77777777" w:rsidR="005F3BF6" w:rsidRDefault="005F3BF6" w:rsidP="005F3BF6">
      <w:pPr>
        <w:widowControl/>
        <w:overflowPunct w:val="0"/>
        <w:spacing w:beforeLines="50" w:before="120" w:afterLines="50" w:after="120" w:line="240" w:lineRule="auto"/>
        <w:ind w:firstLine="480"/>
        <w:jc w:val="left"/>
        <w:rPr>
          <w:rFonts w:eastAsia="宋体"/>
          <w:sz w:val="24"/>
          <w:szCs w:val="24"/>
        </w:rPr>
      </w:pPr>
      <w:r>
        <w:rPr>
          <w:rFonts w:eastAsia="宋体"/>
          <w:sz w:val="24"/>
          <w:szCs w:val="24"/>
        </w:rPr>
        <w:t>Legal representative (all members of the consortium) (signature(s) or seal(s)):</w:t>
      </w:r>
    </w:p>
    <w:p w14:paraId="3BCB1650" w14:textId="77777777" w:rsidR="005F3BF6" w:rsidRDefault="005F3BF6" w:rsidP="005F3BF6">
      <w:pPr>
        <w:pStyle w:val="Default"/>
        <w:overflowPunct w:val="0"/>
        <w:spacing w:beforeLines="50" w:before="120" w:afterLines="50" w:after="120"/>
        <w:rPr>
          <w:rFonts w:ascii="Times New Roman" w:eastAsia="宋体" w:hAnsi="Times New Roman" w:cs="Times New Roman"/>
          <w:color w:val="auto"/>
        </w:rPr>
      </w:pPr>
    </w:p>
    <w:p w14:paraId="7923C158" w14:textId="77777777" w:rsidR="005F3BF6" w:rsidRDefault="005F3BF6" w:rsidP="005F3BF6">
      <w:pPr>
        <w:widowControl/>
        <w:overflowPunct w:val="0"/>
        <w:spacing w:beforeLines="50" w:before="120" w:afterLines="50" w:after="120" w:line="240" w:lineRule="auto"/>
        <w:ind w:firstLine="480"/>
        <w:jc w:val="left"/>
        <w:rPr>
          <w:rFonts w:eastAsia="宋体"/>
          <w:kern w:val="0"/>
          <w:sz w:val="24"/>
          <w:szCs w:val="24"/>
        </w:rPr>
      </w:pPr>
      <w:r>
        <w:rPr>
          <w:rFonts w:eastAsia="宋体"/>
          <w:kern w:val="0"/>
          <w:sz w:val="24"/>
          <w:szCs w:val="24"/>
        </w:rPr>
        <w:t>日期：</w:t>
      </w:r>
    </w:p>
    <w:p w14:paraId="6BBD3557" w14:textId="77777777" w:rsidR="005F3BF6" w:rsidRDefault="005F3BF6" w:rsidP="005F3BF6">
      <w:pPr>
        <w:widowControl/>
        <w:overflowPunct w:val="0"/>
        <w:spacing w:beforeLines="50" w:before="120" w:afterLines="50" w:after="120" w:line="240" w:lineRule="auto"/>
        <w:ind w:firstLine="480"/>
        <w:jc w:val="left"/>
        <w:rPr>
          <w:rFonts w:eastAsia="宋体"/>
          <w:sz w:val="24"/>
          <w:szCs w:val="24"/>
        </w:rPr>
      </w:pPr>
      <w:r>
        <w:rPr>
          <w:rFonts w:eastAsia="宋体"/>
          <w:sz w:val="24"/>
          <w:szCs w:val="24"/>
        </w:rPr>
        <w:t>Date:</w:t>
      </w:r>
    </w:p>
    <w:p w14:paraId="54B44BDB" w14:textId="77777777" w:rsidR="005F3BF6" w:rsidRDefault="005F3BF6" w:rsidP="005F3BF6">
      <w:pPr>
        <w:widowControl/>
        <w:overflowPunct w:val="0"/>
        <w:spacing w:beforeLines="50" w:before="120" w:afterLines="50" w:after="120" w:line="240" w:lineRule="auto"/>
        <w:ind w:firstLine="480"/>
        <w:jc w:val="left"/>
        <w:rPr>
          <w:rFonts w:eastAsia="宋体"/>
          <w:kern w:val="0"/>
          <w:sz w:val="24"/>
          <w:szCs w:val="24"/>
        </w:rPr>
      </w:pPr>
      <w:r>
        <w:rPr>
          <w:rFonts w:eastAsia="宋体"/>
          <w:kern w:val="0"/>
          <w:sz w:val="24"/>
          <w:szCs w:val="24"/>
        </w:rPr>
        <w:t>注：接受电子签名、电子章。</w:t>
      </w:r>
    </w:p>
    <w:p w14:paraId="23CEF723" w14:textId="77777777" w:rsidR="005F3BF6" w:rsidRDefault="005F3BF6" w:rsidP="005F3BF6">
      <w:pPr>
        <w:widowControl/>
        <w:overflowPunct w:val="0"/>
        <w:spacing w:beforeLines="50" w:before="120" w:afterLines="50" w:after="120" w:line="240" w:lineRule="auto"/>
        <w:ind w:firstLine="480"/>
        <w:jc w:val="left"/>
        <w:rPr>
          <w:rFonts w:eastAsia="宋体"/>
          <w:sz w:val="24"/>
          <w:szCs w:val="24"/>
        </w:rPr>
      </w:pPr>
      <w:r>
        <w:rPr>
          <w:rFonts w:eastAsia="宋体"/>
          <w:sz w:val="24"/>
          <w:szCs w:val="24"/>
        </w:rPr>
        <w:t>Note: Electronic signatures and electronic stamps are acceptable.</w:t>
      </w:r>
    </w:p>
    <w:p w14:paraId="55EBC6BD" w14:textId="77777777" w:rsidR="005F3BF6" w:rsidRDefault="005F3BF6" w:rsidP="005F3BF6">
      <w:pPr>
        <w:pStyle w:val="ae"/>
        <w:spacing w:beforeLines="50" w:before="120" w:afterLines="50" w:after="120" w:line="240" w:lineRule="auto"/>
        <w:ind w:firstLine="480"/>
        <w:rPr>
          <w:rFonts w:eastAsia="宋体"/>
          <w:sz w:val="24"/>
          <w:szCs w:val="24"/>
        </w:rPr>
      </w:pPr>
    </w:p>
    <w:p w14:paraId="5134365F" w14:textId="77777777" w:rsidR="005F3BF6" w:rsidRDefault="005F3BF6" w:rsidP="005F3BF6">
      <w:pPr>
        <w:pStyle w:val="1"/>
        <w:keepNext w:val="0"/>
        <w:keepLines w:val="0"/>
        <w:overflowPunct w:val="0"/>
        <w:spacing w:beforeLines="50" w:before="120" w:afterLines="50" w:after="120" w:line="240" w:lineRule="auto"/>
        <w:ind w:firstLineChars="0" w:firstLine="0"/>
        <w:rPr>
          <w:rFonts w:eastAsia="宋体"/>
          <w:sz w:val="24"/>
          <w:szCs w:val="24"/>
        </w:rPr>
      </w:pPr>
      <w:r>
        <w:rPr>
          <w:rFonts w:eastAsia="宋体"/>
          <w:color w:val="auto"/>
          <w:sz w:val="24"/>
          <w:szCs w:val="24"/>
        </w:rPr>
        <w:br w:type="page"/>
      </w:r>
      <w:r>
        <w:rPr>
          <w:rFonts w:eastAsia="宋体"/>
          <w:color w:val="auto"/>
          <w:sz w:val="24"/>
          <w:szCs w:val="24"/>
        </w:rPr>
        <w:lastRenderedPageBreak/>
        <w:t>附件</w:t>
      </w:r>
      <w:r>
        <w:rPr>
          <w:rFonts w:eastAsia="宋体"/>
          <w:color w:val="auto"/>
          <w:sz w:val="24"/>
          <w:szCs w:val="24"/>
        </w:rPr>
        <w:t>3</w:t>
      </w:r>
    </w:p>
    <w:p w14:paraId="5B16C210" w14:textId="77777777" w:rsidR="005F3BF6" w:rsidRDefault="005F3BF6" w:rsidP="005F3BF6">
      <w:pPr>
        <w:pStyle w:val="1"/>
        <w:keepNext w:val="0"/>
        <w:keepLines w:val="0"/>
        <w:overflowPunct w:val="0"/>
        <w:spacing w:beforeLines="50" w:before="120" w:afterLines="50" w:after="120" w:line="240" w:lineRule="auto"/>
        <w:ind w:firstLineChars="0" w:firstLine="0"/>
        <w:rPr>
          <w:rFonts w:eastAsia="宋体"/>
          <w:sz w:val="24"/>
          <w:szCs w:val="24"/>
        </w:rPr>
      </w:pPr>
      <w:r>
        <w:rPr>
          <w:rFonts w:eastAsia="宋体"/>
          <w:color w:val="auto"/>
          <w:sz w:val="24"/>
          <w:szCs w:val="24"/>
        </w:rPr>
        <w:t>Appendix 3</w:t>
      </w:r>
    </w:p>
    <w:p w14:paraId="131FBAB4" w14:textId="77777777" w:rsidR="005F3BF6" w:rsidRDefault="005F3BF6" w:rsidP="005F3BF6">
      <w:pPr>
        <w:overflowPunct w:val="0"/>
        <w:spacing w:beforeLines="50" w:before="120" w:afterLines="50" w:after="120" w:line="240" w:lineRule="auto"/>
        <w:ind w:firstLine="480"/>
        <w:jc w:val="center"/>
        <w:rPr>
          <w:rFonts w:eastAsia="宋体"/>
          <w:bCs/>
          <w:sz w:val="24"/>
          <w:szCs w:val="24"/>
        </w:rPr>
      </w:pPr>
    </w:p>
    <w:p w14:paraId="434A4B88" w14:textId="77777777" w:rsidR="005F3BF6" w:rsidRDefault="005F3BF6" w:rsidP="005F3BF6">
      <w:pPr>
        <w:overflowPunct w:val="0"/>
        <w:spacing w:beforeLines="50" w:before="120" w:afterLines="50" w:after="120" w:line="240" w:lineRule="auto"/>
        <w:ind w:firstLineChars="0" w:firstLine="0"/>
        <w:jc w:val="center"/>
        <w:rPr>
          <w:rFonts w:eastAsia="宋体"/>
          <w:bCs/>
          <w:sz w:val="24"/>
          <w:szCs w:val="24"/>
        </w:rPr>
      </w:pPr>
      <w:r>
        <w:rPr>
          <w:rFonts w:eastAsia="宋体"/>
          <w:bCs/>
          <w:sz w:val="24"/>
          <w:szCs w:val="24"/>
        </w:rPr>
        <w:t>资格预审遴选细则</w:t>
      </w:r>
    </w:p>
    <w:p w14:paraId="14406678" w14:textId="77777777" w:rsidR="005F3BF6" w:rsidRDefault="005F3BF6" w:rsidP="005F3BF6">
      <w:pPr>
        <w:overflowPunct w:val="0"/>
        <w:spacing w:beforeLines="50" w:before="120" w:afterLines="50" w:after="120" w:line="240" w:lineRule="auto"/>
        <w:ind w:firstLineChars="0" w:firstLine="0"/>
        <w:jc w:val="center"/>
        <w:rPr>
          <w:rFonts w:eastAsia="宋体"/>
          <w:b/>
          <w:sz w:val="24"/>
          <w:szCs w:val="24"/>
        </w:rPr>
      </w:pPr>
      <w:r>
        <w:rPr>
          <w:rFonts w:eastAsia="宋体"/>
          <w:b/>
          <w:sz w:val="24"/>
          <w:szCs w:val="24"/>
        </w:rPr>
        <w:t>Rules for Pre-qualification Review and Selection</w:t>
      </w:r>
    </w:p>
    <w:p w14:paraId="05A7B6B4" w14:textId="77777777" w:rsidR="005F3BF6" w:rsidRDefault="005F3BF6" w:rsidP="005F3BF6">
      <w:pPr>
        <w:pStyle w:val="TOC4"/>
        <w:wordWrap/>
        <w:spacing w:beforeLines="50" w:before="120" w:afterLines="50" w:after="120" w:line="240" w:lineRule="auto"/>
        <w:ind w:firstLine="480"/>
        <w:rPr>
          <w:rFonts w:eastAsia="宋体" w:cs="Times New Roman"/>
          <w:sz w:val="24"/>
          <w:szCs w:val="24"/>
        </w:rPr>
      </w:pPr>
    </w:p>
    <w:p w14:paraId="0E18D835" w14:textId="77777777" w:rsidR="005F3BF6" w:rsidRDefault="005F3BF6" w:rsidP="005F3BF6">
      <w:pPr>
        <w:spacing w:beforeLines="50" w:before="120" w:afterLines="50" w:after="120" w:line="240" w:lineRule="auto"/>
        <w:ind w:firstLine="454"/>
        <w:rPr>
          <w:rFonts w:eastAsia="宋体"/>
          <w:bCs/>
          <w:sz w:val="24"/>
          <w:szCs w:val="24"/>
        </w:rPr>
      </w:pPr>
      <w:r>
        <w:rPr>
          <w:rFonts w:eastAsia="宋体"/>
          <w:bCs/>
          <w:w w:val="95"/>
          <w:sz w:val="24"/>
          <w:szCs w:val="24"/>
        </w:rPr>
        <w:t>一、前</w:t>
      </w:r>
      <w:r>
        <w:rPr>
          <w:rFonts w:eastAsia="宋体"/>
          <w:bCs/>
          <w:spacing w:val="-10"/>
          <w:w w:val="95"/>
          <w:sz w:val="24"/>
          <w:szCs w:val="24"/>
        </w:rPr>
        <w:t>言</w:t>
      </w:r>
    </w:p>
    <w:p w14:paraId="6A2B214C" w14:textId="77777777" w:rsidR="005F3BF6" w:rsidRDefault="005F3BF6" w:rsidP="005F3BF6">
      <w:pPr>
        <w:pStyle w:val="a9"/>
        <w:numPr>
          <w:ilvl w:val="0"/>
          <w:numId w:val="1"/>
        </w:numPr>
        <w:tabs>
          <w:tab w:val="left" w:pos="1044"/>
        </w:tabs>
        <w:spacing w:beforeLines="50" w:before="120" w:afterLines="50" w:after="120" w:line="240" w:lineRule="auto"/>
        <w:ind w:firstLine="474"/>
        <w:contextualSpacing w:val="0"/>
        <w:rPr>
          <w:rFonts w:eastAsia="宋体"/>
          <w:b/>
          <w:spacing w:val="-2"/>
          <w:sz w:val="24"/>
          <w:szCs w:val="24"/>
        </w:rPr>
      </w:pPr>
      <w:r>
        <w:rPr>
          <w:rFonts w:eastAsia="宋体"/>
          <w:b/>
          <w:spacing w:val="-2"/>
          <w:sz w:val="24"/>
          <w:szCs w:val="24"/>
        </w:rPr>
        <w:t>Introduction</w:t>
      </w:r>
    </w:p>
    <w:p w14:paraId="13A95BB8"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本竞赛引入竞争机制，采取公开报名、择优选择参赛机构的方式开展，对所有依据竞赛公告规定报名的申请人（含联合体，下同）进行遴选。</w:t>
      </w:r>
    </w:p>
    <w:p w14:paraId="63306607" w14:textId="77777777" w:rsidR="005F3BF6" w:rsidRDefault="005F3BF6" w:rsidP="005F3BF6">
      <w:pPr>
        <w:pStyle w:val="af"/>
        <w:widowControl/>
        <w:spacing w:beforeLines="50" w:before="120" w:afterLines="50" w:after="120" w:line="240" w:lineRule="auto"/>
        <w:ind w:left="0" w:firstLine="480"/>
        <w:jc w:val="left"/>
        <w:rPr>
          <w:rFonts w:eastAsia="宋体"/>
          <w:sz w:val="24"/>
          <w:szCs w:val="24"/>
        </w:rPr>
      </w:pPr>
      <w:r>
        <w:rPr>
          <w:rFonts w:eastAsia="宋体"/>
          <w:sz w:val="24"/>
          <w:szCs w:val="24"/>
        </w:rPr>
        <w:t>The urban design competition adopts an open registration process and selects participants based on merit from all those (including consortia, the same below) who sign up in accordance with the requirements of the competition announcement.</w:t>
      </w:r>
    </w:p>
    <w:p w14:paraId="52C6FF9F"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为保证</w:t>
      </w:r>
      <w:r>
        <w:rPr>
          <w:rFonts w:eastAsia="宋体"/>
          <w:sz w:val="24"/>
          <w:szCs w:val="24"/>
        </w:rPr>
        <w:t>“</w:t>
      </w:r>
      <w:r>
        <w:rPr>
          <w:rFonts w:eastAsia="宋体"/>
          <w:sz w:val="24"/>
          <w:szCs w:val="24"/>
        </w:rPr>
        <w:t>公开、公平、公正</w:t>
      </w:r>
      <w:r>
        <w:rPr>
          <w:rFonts w:eastAsia="宋体"/>
          <w:sz w:val="24"/>
          <w:szCs w:val="24"/>
        </w:rPr>
        <w:t>”</w:t>
      </w:r>
      <w:r>
        <w:rPr>
          <w:rFonts w:eastAsia="宋体"/>
          <w:sz w:val="24"/>
          <w:szCs w:val="24"/>
        </w:rPr>
        <w:t>，根据中华人民共和国现行有关的法律、法规和方针、政策，结合本项目的特点和要求，制定本细则。</w:t>
      </w:r>
    </w:p>
    <w:p w14:paraId="374951E0" w14:textId="77777777" w:rsidR="005F3BF6" w:rsidRDefault="005F3BF6" w:rsidP="005F3BF6">
      <w:pPr>
        <w:pStyle w:val="af"/>
        <w:widowControl/>
        <w:spacing w:beforeLines="50" w:before="120" w:afterLines="50" w:after="120" w:line="240" w:lineRule="auto"/>
        <w:ind w:left="0" w:firstLine="480"/>
        <w:jc w:val="left"/>
        <w:rPr>
          <w:rFonts w:eastAsia="宋体"/>
          <w:sz w:val="24"/>
          <w:szCs w:val="24"/>
        </w:rPr>
      </w:pPr>
      <w:r>
        <w:rPr>
          <w:rFonts w:eastAsia="宋体"/>
          <w:sz w:val="24"/>
          <w:szCs w:val="24"/>
        </w:rPr>
        <w:t>The Rules is hereby formulated in accordance with the current relevant laws, regulations, guidelines and policies of the People's Republic of China and based on the characteristics and requirements of the project for the purpose of ensuring an "open, fair and impartial" competition.</w:t>
      </w:r>
    </w:p>
    <w:p w14:paraId="12D6D36C"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本细则的解释和修订权属竞赛主办单位。</w:t>
      </w:r>
    </w:p>
    <w:p w14:paraId="56798FEE" w14:textId="77777777" w:rsidR="005F3BF6" w:rsidRDefault="005F3BF6" w:rsidP="005F3BF6">
      <w:pPr>
        <w:pStyle w:val="af"/>
        <w:widowControl/>
        <w:spacing w:beforeLines="50" w:before="120" w:afterLines="50" w:after="120" w:line="240" w:lineRule="auto"/>
        <w:ind w:left="0" w:firstLine="480"/>
        <w:jc w:val="left"/>
        <w:rPr>
          <w:rFonts w:eastAsia="宋体"/>
          <w:sz w:val="24"/>
          <w:szCs w:val="24"/>
        </w:rPr>
      </w:pPr>
      <w:r>
        <w:rPr>
          <w:rFonts w:eastAsia="宋体"/>
          <w:sz w:val="24"/>
          <w:szCs w:val="24"/>
        </w:rPr>
        <w:t>The right to interpret and amend the Rules resides with the host of the urban design competition.</w:t>
      </w:r>
    </w:p>
    <w:p w14:paraId="1093720F" w14:textId="77777777" w:rsidR="005F3BF6" w:rsidRDefault="005F3BF6" w:rsidP="005F3BF6">
      <w:pPr>
        <w:spacing w:beforeLines="50" w:before="120" w:afterLines="50" w:after="120" w:line="240" w:lineRule="auto"/>
        <w:ind w:firstLine="454"/>
        <w:rPr>
          <w:rFonts w:eastAsia="宋体"/>
          <w:bCs/>
          <w:w w:val="95"/>
          <w:sz w:val="24"/>
          <w:szCs w:val="24"/>
        </w:rPr>
      </w:pPr>
      <w:r>
        <w:rPr>
          <w:rFonts w:eastAsia="宋体"/>
          <w:bCs/>
          <w:w w:val="95"/>
          <w:sz w:val="24"/>
          <w:szCs w:val="24"/>
        </w:rPr>
        <w:t>二、资格审查委员会</w:t>
      </w:r>
    </w:p>
    <w:p w14:paraId="038B5FB4" w14:textId="77777777" w:rsidR="005F3BF6" w:rsidRDefault="005F3BF6" w:rsidP="005F3BF6">
      <w:pPr>
        <w:pStyle w:val="a9"/>
        <w:numPr>
          <w:ilvl w:val="0"/>
          <w:numId w:val="1"/>
        </w:numPr>
        <w:tabs>
          <w:tab w:val="left" w:pos="1044"/>
        </w:tabs>
        <w:spacing w:beforeLines="50" w:before="120" w:afterLines="50" w:after="120" w:line="240" w:lineRule="auto"/>
        <w:ind w:firstLine="474"/>
        <w:contextualSpacing w:val="0"/>
        <w:rPr>
          <w:rFonts w:eastAsia="宋体"/>
          <w:b/>
          <w:spacing w:val="-2"/>
          <w:sz w:val="24"/>
          <w:szCs w:val="24"/>
        </w:rPr>
      </w:pPr>
      <w:r>
        <w:rPr>
          <w:rFonts w:eastAsia="宋体"/>
          <w:b/>
          <w:spacing w:val="-2"/>
          <w:sz w:val="24"/>
          <w:szCs w:val="24"/>
        </w:rPr>
        <w:t>Qualification Review Committee</w:t>
      </w:r>
    </w:p>
    <w:p w14:paraId="14E31CFD"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（一）资格审查委员会由单数人员组成，并由主办单位负责组建。</w:t>
      </w:r>
    </w:p>
    <w:p w14:paraId="67DBC9E9" w14:textId="77777777" w:rsidR="005F3BF6" w:rsidRDefault="005F3BF6" w:rsidP="005F3BF6">
      <w:pPr>
        <w:pStyle w:val="a9"/>
        <w:tabs>
          <w:tab w:val="left" w:pos="1277"/>
        </w:tabs>
        <w:spacing w:beforeLines="50" w:before="120" w:afterLines="50" w:after="120" w:line="240" w:lineRule="auto"/>
        <w:ind w:left="480" w:firstLineChars="0" w:firstLine="0"/>
        <w:rPr>
          <w:rFonts w:eastAsia="宋体"/>
          <w:sz w:val="24"/>
          <w:szCs w:val="24"/>
        </w:rPr>
      </w:pPr>
      <w:proofErr w:type="spellStart"/>
      <w:r>
        <w:rPr>
          <w:rFonts w:eastAsia="宋体"/>
          <w:sz w:val="24"/>
          <w:szCs w:val="24"/>
        </w:rPr>
        <w:t>i</w:t>
      </w:r>
      <w:proofErr w:type="spellEnd"/>
      <w:r>
        <w:rPr>
          <w:rFonts w:eastAsia="宋体"/>
          <w:sz w:val="24"/>
          <w:szCs w:val="24"/>
        </w:rPr>
        <w:t>. A Qualification Review Committee comprising an odd number of members will be set up by the host.</w:t>
      </w:r>
    </w:p>
    <w:p w14:paraId="75DDCBBA"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（二）资格审查委员会的职责是根据本细则选出参赛机构和候补参赛机构。</w:t>
      </w:r>
    </w:p>
    <w:p w14:paraId="58DDA7D6" w14:textId="77777777" w:rsidR="005F3BF6" w:rsidRDefault="005F3BF6" w:rsidP="005F3BF6">
      <w:pPr>
        <w:spacing w:beforeLines="50" w:before="120" w:afterLines="50" w:after="120" w:line="240" w:lineRule="auto"/>
        <w:ind w:left="-924" w:firstLineChars="0" w:firstLine="640"/>
        <w:jc w:val="right"/>
        <w:rPr>
          <w:rFonts w:eastAsia="宋体"/>
          <w:sz w:val="24"/>
          <w:szCs w:val="24"/>
        </w:rPr>
      </w:pPr>
      <w:r>
        <w:rPr>
          <w:rFonts w:eastAsia="宋体"/>
          <w:sz w:val="24"/>
          <w:szCs w:val="24"/>
        </w:rPr>
        <w:t>ii. The responsibility of the Qualification Review Committee is to select qualified participants and alternates in accordance with the Rules.</w:t>
      </w:r>
    </w:p>
    <w:p w14:paraId="4A7CB3F4" w14:textId="77777777" w:rsidR="005F3BF6" w:rsidRDefault="005F3BF6" w:rsidP="005F3BF6">
      <w:pPr>
        <w:spacing w:beforeLines="50" w:before="120" w:afterLines="50" w:after="120" w:line="240" w:lineRule="auto"/>
        <w:ind w:firstLine="454"/>
        <w:rPr>
          <w:rFonts w:eastAsia="宋体"/>
          <w:bCs/>
          <w:w w:val="95"/>
          <w:sz w:val="24"/>
          <w:szCs w:val="24"/>
        </w:rPr>
      </w:pPr>
      <w:r>
        <w:rPr>
          <w:rFonts w:eastAsia="宋体"/>
          <w:bCs/>
          <w:w w:val="95"/>
          <w:sz w:val="24"/>
          <w:szCs w:val="24"/>
        </w:rPr>
        <w:t>三、遴选办法</w:t>
      </w:r>
    </w:p>
    <w:p w14:paraId="2D10711B" w14:textId="77777777" w:rsidR="005F3BF6" w:rsidRDefault="005F3BF6" w:rsidP="005F3BF6">
      <w:pPr>
        <w:pStyle w:val="a9"/>
        <w:numPr>
          <w:ilvl w:val="0"/>
          <w:numId w:val="1"/>
        </w:numPr>
        <w:tabs>
          <w:tab w:val="left" w:pos="1044"/>
        </w:tabs>
        <w:spacing w:beforeLines="50" w:before="120" w:afterLines="50" w:after="120" w:line="240" w:lineRule="auto"/>
        <w:ind w:firstLine="474"/>
        <w:contextualSpacing w:val="0"/>
        <w:rPr>
          <w:rFonts w:eastAsia="宋体"/>
          <w:b/>
          <w:spacing w:val="-2"/>
          <w:sz w:val="24"/>
          <w:szCs w:val="24"/>
        </w:rPr>
      </w:pPr>
      <w:r>
        <w:rPr>
          <w:rFonts w:eastAsia="宋体"/>
          <w:b/>
          <w:spacing w:val="-2"/>
          <w:sz w:val="24"/>
          <w:szCs w:val="24"/>
        </w:rPr>
        <w:t>Selection Method</w:t>
      </w:r>
    </w:p>
    <w:p w14:paraId="6ACFEE00"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遴选流程分为符合性审查和择优综合评审两个阶段。</w:t>
      </w:r>
    </w:p>
    <w:p w14:paraId="45EA63FF" w14:textId="77777777" w:rsidR="005F3BF6" w:rsidRDefault="005F3BF6" w:rsidP="005F3BF6">
      <w:pPr>
        <w:pStyle w:val="af"/>
        <w:widowControl/>
        <w:spacing w:beforeLines="50" w:before="120" w:afterLines="50" w:after="120" w:line="240" w:lineRule="auto"/>
        <w:ind w:left="0" w:firstLineChars="0" w:firstLine="640"/>
        <w:rPr>
          <w:rFonts w:eastAsia="宋体"/>
          <w:sz w:val="24"/>
          <w:szCs w:val="24"/>
        </w:rPr>
      </w:pPr>
      <w:r>
        <w:rPr>
          <w:rFonts w:eastAsia="宋体"/>
          <w:sz w:val="24"/>
          <w:szCs w:val="24"/>
        </w:rPr>
        <w:lastRenderedPageBreak/>
        <w:t>The selection process is divided into two phases, i.e., compliance review and merit-based comprehensive evaluation.</w:t>
      </w:r>
    </w:p>
    <w:p w14:paraId="4C0AF9FD"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（一）符合性审查</w:t>
      </w:r>
    </w:p>
    <w:p w14:paraId="5C253C45" w14:textId="77777777" w:rsidR="005F3BF6" w:rsidRDefault="005F3BF6" w:rsidP="005F3BF6">
      <w:pPr>
        <w:spacing w:beforeLines="50" w:before="120" w:afterLines="50" w:after="120" w:line="240" w:lineRule="auto"/>
        <w:ind w:firstLine="480"/>
        <w:rPr>
          <w:rFonts w:eastAsia="宋体"/>
          <w:bCs/>
          <w:sz w:val="24"/>
          <w:szCs w:val="24"/>
        </w:rPr>
      </w:pPr>
      <w:proofErr w:type="spellStart"/>
      <w:r>
        <w:rPr>
          <w:rFonts w:eastAsia="宋体"/>
          <w:bCs/>
          <w:sz w:val="24"/>
          <w:szCs w:val="24"/>
        </w:rPr>
        <w:t>i</w:t>
      </w:r>
      <w:proofErr w:type="spellEnd"/>
      <w:r>
        <w:rPr>
          <w:rFonts w:eastAsia="宋体"/>
          <w:bCs/>
          <w:sz w:val="24"/>
          <w:szCs w:val="24"/>
        </w:rPr>
        <w:t>. Compliance</w:t>
      </w:r>
      <w:r>
        <w:rPr>
          <w:rFonts w:eastAsia="宋体"/>
          <w:bCs/>
          <w:spacing w:val="-14"/>
          <w:sz w:val="24"/>
          <w:szCs w:val="24"/>
        </w:rPr>
        <w:t xml:space="preserve"> </w:t>
      </w:r>
      <w:r>
        <w:rPr>
          <w:rFonts w:eastAsia="宋体"/>
          <w:bCs/>
          <w:spacing w:val="-2"/>
          <w:sz w:val="24"/>
          <w:szCs w:val="24"/>
        </w:rPr>
        <w:t>review</w:t>
      </w:r>
    </w:p>
    <w:p w14:paraId="1B860959"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竞赛组织代理服务单位协助对各申请人进行符合性审查，对商务文件和概念提案的完整性、时效性进行审查，审查结果</w:t>
      </w:r>
      <w:proofErr w:type="gramStart"/>
      <w:r>
        <w:rPr>
          <w:rFonts w:eastAsia="宋体"/>
          <w:sz w:val="24"/>
          <w:szCs w:val="24"/>
        </w:rPr>
        <w:t>报资格</w:t>
      </w:r>
      <w:proofErr w:type="gramEnd"/>
      <w:r>
        <w:rPr>
          <w:rFonts w:eastAsia="宋体"/>
          <w:sz w:val="24"/>
          <w:szCs w:val="24"/>
        </w:rPr>
        <w:t>审查委员会确认，只有通过符合性审查的申请人才可进入择优综合评审阶段。</w:t>
      </w:r>
    </w:p>
    <w:p w14:paraId="00214C7D"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资格审查委员会对符合性审查结论意见不一致时，按少数服从多数原则处理。如通过符合性审查的申请人不足</w:t>
      </w:r>
      <w:r>
        <w:rPr>
          <w:rFonts w:eastAsia="宋体"/>
          <w:sz w:val="24"/>
          <w:szCs w:val="24"/>
        </w:rPr>
        <w:t>5</w:t>
      </w:r>
      <w:r>
        <w:rPr>
          <w:rFonts w:eastAsia="宋体"/>
          <w:sz w:val="24"/>
          <w:szCs w:val="24"/>
        </w:rPr>
        <w:t>家的，则主办单位可根据项目情况决定延长报名时间或重新组织报名工作。通过符合性审查的申请人数量超过</w:t>
      </w:r>
      <w:r>
        <w:rPr>
          <w:rFonts w:eastAsia="宋体"/>
          <w:sz w:val="24"/>
          <w:szCs w:val="24"/>
        </w:rPr>
        <w:t>5</w:t>
      </w:r>
      <w:r>
        <w:rPr>
          <w:rFonts w:eastAsia="宋体"/>
          <w:sz w:val="24"/>
          <w:szCs w:val="24"/>
        </w:rPr>
        <w:t>家的，对通过符合性审查条件的申请人进行择优综合评审。</w:t>
      </w:r>
    </w:p>
    <w:p w14:paraId="188010E2" w14:textId="77777777" w:rsidR="005F3BF6" w:rsidRDefault="005F3BF6" w:rsidP="005F3BF6">
      <w:pPr>
        <w:pStyle w:val="af"/>
        <w:widowControl/>
        <w:spacing w:beforeLines="50" w:before="120" w:afterLines="50" w:after="120" w:line="240" w:lineRule="auto"/>
        <w:ind w:left="0" w:firstLine="480"/>
        <w:jc w:val="left"/>
        <w:rPr>
          <w:rFonts w:eastAsia="宋体"/>
          <w:sz w:val="24"/>
          <w:szCs w:val="24"/>
        </w:rPr>
      </w:pPr>
      <w:r>
        <w:rPr>
          <w:rFonts w:eastAsia="宋体"/>
          <w:sz w:val="24"/>
          <w:szCs w:val="24"/>
        </w:rPr>
        <w:t xml:space="preserve">The competition organization agency service unit shall assist in conducting compliance reviews on all applicants, examining the completeness and timeliness of their business documents and conceptual proposals, and submit the review results to the Qualification Review Committee for confirmation. Only those who passed the compliance review are eligible to proceed to the merit-based comprehensive evaluation. </w:t>
      </w:r>
    </w:p>
    <w:p w14:paraId="04146DCC" w14:textId="77777777" w:rsidR="005F3BF6" w:rsidRDefault="005F3BF6" w:rsidP="005F3BF6">
      <w:pPr>
        <w:pStyle w:val="af"/>
        <w:widowControl/>
        <w:spacing w:beforeLines="50" w:before="120" w:afterLines="50" w:after="120" w:line="240" w:lineRule="auto"/>
        <w:ind w:left="0" w:firstLine="480"/>
        <w:jc w:val="left"/>
        <w:rPr>
          <w:rFonts w:eastAsia="宋体"/>
          <w:sz w:val="24"/>
          <w:szCs w:val="24"/>
        </w:rPr>
      </w:pPr>
      <w:r>
        <w:rPr>
          <w:rFonts w:eastAsia="宋体"/>
          <w:sz w:val="24"/>
          <w:szCs w:val="24"/>
        </w:rPr>
        <w:t xml:space="preserve">In case of disagreements among the members of the Qualification Review Committee regarding compliance review results, the decision shall be made based on the majority rule. If fewer than 5 applicants pass the compliance review, the host may choose to extend the registration time or reorganize the registration as the case may be. If more than 5 applicants pass, they will advance to the merit-based comprehensive evaluation. </w:t>
      </w:r>
    </w:p>
    <w:p w14:paraId="1EC4D5BA"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符合性审查要点如下：</w:t>
      </w:r>
    </w:p>
    <w:p w14:paraId="00480976" w14:textId="77777777" w:rsidR="005F3BF6" w:rsidRDefault="005F3BF6" w:rsidP="005F3BF6">
      <w:pPr>
        <w:pStyle w:val="af"/>
        <w:widowControl/>
        <w:spacing w:beforeLines="50" w:before="120" w:afterLines="50" w:after="120" w:line="240" w:lineRule="auto"/>
        <w:ind w:left="0" w:firstLine="480"/>
        <w:jc w:val="left"/>
        <w:rPr>
          <w:rFonts w:eastAsia="宋体"/>
          <w:sz w:val="24"/>
          <w:szCs w:val="24"/>
        </w:rPr>
      </w:pPr>
      <w:r>
        <w:rPr>
          <w:rFonts w:eastAsia="宋体"/>
          <w:sz w:val="24"/>
          <w:szCs w:val="24"/>
        </w:rPr>
        <w:t>Key points of the compliance review are as follows:</w:t>
      </w:r>
    </w:p>
    <w:p w14:paraId="669FA518"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1.</w:t>
      </w:r>
      <w:r>
        <w:rPr>
          <w:rFonts w:eastAsia="宋体"/>
          <w:sz w:val="24"/>
          <w:szCs w:val="24"/>
        </w:rPr>
        <w:t>《资格预审申请文件》完整真实，申请人所提供的业绩材料具有合法知识产权，不存在通过模仿注册业内知名设计机构名称而博取参赛资格的行为；</w:t>
      </w:r>
    </w:p>
    <w:p w14:paraId="158D7086"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hint="eastAsia"/>
          <w:sz w:val="24"/>
          <w:szCs w:val="24"/>
        </w:rPr>
        <w:t>1.</w:t>
      </w:r>
      <w:r>
        <w:rPr>
          <w:rFonts w:eastAsia="宋体"/>
          <w:sz w:val="24"/>
          <w:szCs w:val="24"/>
        </w:rPr>
        <w:t xml:space="preserve">The </w:t>
      </w:r>
      <w:r>
        <w:rPr>
          <w:rFonts w:eastAsia="宋体"/>
          <w:i/>
          <w:iCs/>
          <w:sz w:val="24"/>
          <w:szCs w:val="24"/>
        </w:rPr>
        <w:t>Pre-qualification Application Document</w:t>
      </w:r>
      <w:r>
        <w:rPr>
          <w:rFonts w:eastAsia="宋体"/>
          <w:sz w:val="24"/>
          <w:szCs w:val="24"/>
        </w:rPr>
        <w:t xml:space="preserve"> shall be complete and authentic. Applicants shall possess legitimate intellectual property rights to all performance materials they submit, and shall not imitate the name of well-known design firms to gain the entry qualification;</w:t>
      </w:r>
    </w:p>
    <w:p w14:paraId="6E228EA2"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2.</w:t>
      </w:r>
      <w:r>
        <w:rPr>
          <w:rFonts w:eastAsia="宋体"/>
          <w:sz w:val="24"/>
          <w:szCs w:val="24"/>
        </w:rPr>
        <w:t>申请人符合竞赛公告</w:t>
      </w:r>
      <w:r>
        <w:rPr>
          <w:rFonts w:eastAsia="宋体"/>
          <w:sz w:val="24"/>
          <w:szCs w:val="24"/>
        </w:rPr>
        <w:t>“</w:t>
      </w:r>
      <w:r>
        <w:rPr>
          <w:rFonts w:eastAsia="宋体"/>
          <w:sz w:val="24"/>
          <w:szCs w:val="24"/>
        </w:rPr>
        <w:t>四、竞赛报名方式</w:t>
      </w:r>
      <w:r>
        <w:rPr>
          <w:rFonts w:eastAsia="宋体"/>
          <w:sz w:val="24"/>
          <w:szCs w:val="24"/>
        </w:rPr>
        <w:t>”</w:t>
      </w:r>
      <w:r>
        <w:rPr>
          <w:rFonts w:eastAsia="宋体"/>
          <w:sz w:val="24"/>
          <w:szCs w:val="24"/>
        </w:rPr>
        <w:t>列明要求；</w:t>
      </w:r>
      <w:r>
        <w:rPr>
          <w:rFonts w:eastAsia="宋体"/>
          <w:sz w:val="24"/>
          <w:szCs w:val="24"/>
        </w:rPr>
        <w:t xml:space="preserve"> </w:t>
      </w:r>
    </w:p>
    <w:p w14:paraId="3EC6C168"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hint="eastAsia"/>
          <w:sz w:val="24"/>
          <w:szCs w:val="24"/>
        </w:rPr>
        <w:t>2.</w:t>
      </w:r>
      <w:r>
        <w:rPr>
          <w:rFonts w:eastAsia="宋体"/>
          <w:sz w:val="24"/>
          <w:szCs w:val="24"/>
        </w:rPr>
        <w:t xml:space="preserve"> Applicants shall meet the requirements listed in "IV. Competition Registration" of the competition announcement;</w:t>
      </w:r>
    </w:p>
    <w:p w14:paraId="69F683A0"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3.</w:t>
      </w:r>
      <w:r>
        <w:rPr>
          <w:rFonts w:eastAsia="宋体"/>
          <w:sz w:val="24"/>
          <w:szCs w:val="24"/>
        </w:rPr>
        <w:t>《资格预审申请文件》书面文件中的内容完整、格式规范、盖章和签字齐全；</w:t>
      </w:r>
    </w:p>
    <w:p w14:paraId="312490F4"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hint="eastAsia"/>
          <w:sz w:val="24"/>
          <w:szCs w:val="24"/>
        </w:rPr>
        <w:t>3.</w:t>
      </w:r>
      <w:r>
        <w:rPr>
          <w:rFonts w:eastAsia="宋体"/>
          <w:sz w:val="24"/>
          <w:szCs w:val="24"/>
        </w:rPr>
        <w:t xml:space="preserve"> The </w:t>
      </w:r>
      <w:r>
        <w:rPr>
          <w:rFonts w:eastAsia="宋体"/>
          <w:i/>
          <w:iCs/>
          <w:sz w:val="24"/>
          <w:szCs w:val="24"/>
        </w:rPr>
        <w:t xml:space="preserve">Pre-qualification Application Document </w:t>
      </w:r>
      <w:r>
        <w:rPr>
          <w:rFonts w:eastAsia="宋体"/>
          <w:sz w:val="24"/>
          <w:szCs w:val="24"/>
        </w:rPr>
        <w:t>shall be complete, standardized in layout, and duly stamped and signed;</w:t>
      </w:r>
    </w:p>
    <w:p w14:paraId="62D9B5D5"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4.</w:t>
      </w:r>
      <w:r>
        <w:rPr>
          <w:rFonts w:eastAsia="宋体"/>
          <w:sz w:val="24"/>
          <w:szCs w:val="24"/>
        </w:rPr>
        <w:t>《资格预审申请文件》应包括响应本次竞赛范围和内容要求的概念提案文本。</w:t>
      </w:r>
    </w:p>
    <w:p w14:paraId="55219A5F"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hint="eastAsia"/>
          <w:sz w:val="24"/>
          <w:szCs w:val="24"/>
        </w:rPr>
        <w:t>4.</w:t>
      </w:r>
      <w:r>
        <w:rPr>
          <w:rFonts w:eastAsia="宋体"/>
          <w:sz w:val="24"/>
          <w:szCs w:val="24"/>
        </w:rPr>
        <w:t xml:space="preserve">The </w:t>
      </w:r>
      <w:r>
        <w:rPr>
          <w:rFonts w:eastAsia="宋体"/>
          <w:i/>
          <w:iCs/>
          <w:sz w:val="24"/>
          <w:szCs w:val="24"/>
        </w:rPr>
        <w:t>Pre-qualification Application Document</w:t>
      </w:r>
      <w:r>
        <w:rPr>
          <w:rFonts w:eastAsia="宋体"/>
          <w:sz w:val="24"/>
          <w:szCs w:val="24"/>
        </w:rPr>
        <w:t xml:space="preserve"> shall include a conceptual proposal that </w:t>
      </w:r>
      <w:r>
        <w:rPr>
          <w:rFonts w:eastAsia="宋体"/>
          <w:sz w:val="24"/>
          <w:szCs w:val="24"/>
        </w:rPr>
        <w:lastRenderedPageBreak/>
        <w:t>responds to the project scope and content of the competition.</w:t>
      </w:r>
    </w:p>
    <w:p w14:paraId="052C213B"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（二）择优综合评审</w:t>
      </w:r>
    </w:p>
    <w:p w14:paraId="09038B6F" w14:textId="77777777" w:rsidR="005F3BF6" w:rsidRDefault="005F3BF6" w:rsidP="005F3BF6">
      <w:pPr>
        <w:spacing w:beforeLines="50" w:before="120" w:afterLines="50" w:after="120" w:line="240" w:lineRule="auto"/>
        <w:ind w:left="416" w:firstLineChars="0" w:firstLine="640"/>
        <w:rPr>
          <w:rFonts w:eastAsia="宋体"/>
          <w:bCs/>
          <w:sz w:val="24"/>
          <w:szCs w:val="24"/>
        </w:rPr>
      </w:pPr>
      <w:r>
        <w:rPr>
          <w:rFonts w:eastAsia="宋体"/>
          <w:bCs/>
          <w:sz w:val="24"/>
          <w:szCs w:val="24"/>
        </w:rPr>
        <w:t>ii. Merit-based comprehensive evaluation</w:t>
      </w:r>
    </w:p>
    <w:p w14:paraId="6808E13C" w14:textId="77777777" w:rsidR="005F3BF6" w:rsidRDefault="005F3BF6" w:rsidP="005F3BF6">
      <w:pPr>
        <w:pStyle w:val="af"/>
        <w:spacing w:beforeLines="50" w:before="120" w:afterLines="50" w:after="120" w:line="240" w:lineRule="auto"/>
        <w:ind w:left="0" w:firstLine="482"/>
        <w:rPr>
          <w:rFonts w:eastAsia="宋体"/>
          <w:b/>
          <w:bCs/>
          <w:sz w:val="24"/>
          <w:szCs w:val="24"/>
        </w:rPr>
      </w:pPr>
      <w:r>
        <w:rPr>
          <w:rFonts w:eastAsia="宋体"/>
          <w:b/>
          <w:bCs/>
          <w:sz w:val="24"/>
          <w:szCs w:val="24"/>
        </w:rPr>
        <w:t>1.</w:t>
      </w:r>
      <w:r>
        <w:rPr>
          <w:rFonts w:eastAsia="宋体"/>
          <w:b/>
          <w:bCs/>
          <w:sz w:val="24"/>
          <w:szCs w:val="24"/>
        </w:rPr>
        <w:t>择优评审主要审查以下因素：</w:t>
      </w:r>
    </w:p>
    <w:p w14:paraId="37B5B8AD" w14:textId="77777777" w:rsidR="005F3BF6" w:rsidRDefault="005F3BF6" w:rsidP="005F3BF6">
      <w:pPr>
        <w:pStyle w:val="af"/>
        <w:spacing w:beforeLines="50" w:before="120" w:afterLines="50" w:after="120" w:line="240" w:lineRule="auto"/>
        <w:ind w:left="0" w:firstLine="482"/>
        <w:rPr>
          <w:rFonts w:eastAsia="宋体"/>
          <w:b/>
          <w:bCs/>
          <w:sz w:val="24"/>
          <w:szCs w:val="24"/>
        </w:rPr>
      </w:pPr>
      <w:r>
        <w:rPr>
          <w:rFonts w:eastAsia="宋体"/>
          <w:b/>
          <w:bCs/>
          <w:sz w:val="24"/>
          <w:szCs w:val="24"/>
        </w:rPr>
        <w:t>1. Major evaluation factors:</w:t>
      </w:r>
    </w:p>
    <w:p w14:paraId="517AA4AE" w14:textId="77777777" w:rsidR="005F3BF6" w:rsidRDefault="005F3BF6" w:rsidP="005F3BF6">
      <w:pPr>
        <w:pStyle w:val="af"/>
        <w:spacing w:beforeLines="50" w:before="120" w:afterLines="50" w:after="120" w:line="240" w:lineRule="auto"/>
        <w:ind w:left="0" w:firstLine="482"/>
        <w:rPr>
          <w:rFonts w:eastAsia="宋体"/>
          <w:sz w:val="24"/>
          <w:szCs w:val="24"/>
        </w:rPr>
      </w:pPr>
      <w:r>
        <w:rPr>
          <w:rFonts w:eastAsia="宋体"/>
          <w:b/>
          <w:bCs/>
          <w:sz w:val="24"/>
          <w:szCs w:val="24"/>
        </w:rPr>
        <w:t>（</w:t>
      </w:r>
      <w:r>
        <w:rPr>
          <w:rFonts w:eastAsia="宋体"/>
          <w:b/>
          <w:bCs/>
          <w:sz w:val="24"/>
          <w:szCs w:val="24"/>
        </w:rPr>
        <w:t>1</w:t>
      </w:r>
      <w:r>
        <w:rPr>
          <w:rFonts w:eastAsia="宋体"/>
          <w:b/>
          <w:bCs/>
          <w:sz w:val="24"/>
          <w:szCs w:val="24"/>
        </w:rPr>
        <w:t>）综合实力：</w:t>
      </w:r>
      <w:r>
        <w:rPr>
          <w:rFonts w:eastAsia="宋体"/>
          <w:sz w:val="24"/>
          <w:szCs w:val="24"/>
        </w:rPr>
        <w:t>申请人的资质情况、人才队伍情况、获得国际或国内重大设计类奖项。</w:t>
      </w:r>
    </w:p>
    <w:p w14:paraId="690C8D43" w14:textId="77777777" w:rsidR="005F3BF6" w:rsidRDefault="005F3BF6" w:rsidP="005F3BF6">
      <w:pPr>
        <w:pStyle w:val="af"/>
        <w:spacing w:beforeLines="50" w:before="120" w:afterLines="50" w:after="120" w:line="240" w:lineRule="auto"/>
        <w:ind w:left="0" w:firstLine="482"/>
        <w:rPr>
          <w:rFonts w:eastAsia="宋体"/>
          <w:sz w:val="24"/>
          <w:szCs w:val="24"/>
        </w:rPr>
      </w:pPr>
      <w:r>
        <w:rPr>
          <w:rFonts w:eastAsia="宋体"/>
          <w:b/>
          <w:bCs/>
          <w:sz w:val="24"/>
          <w:szCs w:val="24"/>
        </w:rPr>
        <w:t xml:space="preserve">(1) Comprehensive strength: </w:t>
      </w:r>
      <w:r>
        <w:rPr>
          <w:rFonts w:eastAsia="宋体"/>
          <w:sz w:val="24"/>
          <w:szCs w:val="24"/>
        </w:rPr>
        <w:t>The applicant’s qualification levels, team expertise, and awards received (international or domestic).</w:t>
      </w:r>
    </w:p>
    <w:p w14:paraId="21942C51" w14:textId="77777777" w:rsidR="005F3BF6" w:rsidRDefault="005F3BF6" w:rsidP="005F3BF6">
      <w:pPr>
        <w:pStyle w:val="af"/>
        <w:widowControl/>
        <w:spacing w:beforeLines="50" w:before="120" w:afterLines="50" w:after="120" w:line="240" w:lineRule="auto"/>
        <w:ind w:left="0" w:firstLineChars="0" w:firstLine="480"/>
        <w:jc w:val="left"/>
        <w:rPr>
          <w:rFonts w:eastAsia="宋体"/>
          <w:sz w:val="24"/>
          <w:szCs w:val="24"/>
        </w:rPr>
      </w:pPr>
      <w:r>
        <w:rPr>
          <w:rFonts w:eastAsia="宋体"/>
          <w:b/>
          <w:bCs/>
          <w:sz w:val="24"/>
          <w:szCs w:val="24"/>
        </w:rPr>
        <w:t>（</w:t>
      </w:r>
      <w:r>
        <w:rPr>
          <w:rFonts w:eastAsia="宋体"/>
          <w:b/>
          <w:bCs/>
          <w:sz w:val="24"/>
          <w:szCs w:val="24"/>
        </w:rPr>
        <w:t>2</w:t>
      </w:r>
      <w:r>
        <w:rPr>
          <w:rFonts w:eastAsia="宋体"/>
          <w:b/>
          <w:bCs/>
          <w:sz w:val="24"/>
          <w:szCs w:val="24"/>
        </w:rPr>
        <w:t>）相关业绩：</w:t>
      </w:r>
      <w:r>
        <w:rPr>
          <w:rFonts w:eastAsia="宋体"/>
          <w:sz w:val="24"/>
          <w:szCs w:val="24"/>
        </w:rPr>
        <w:t>申请人的类似项目业绩数量及规模，申请人具有中央商务区、专业园区、城市重点片区、产业型综合片区等范围之一的城市设计、建筑地标设计和产业招商咨询策划的相关业绩。同时，</w:t>
      </w:r>
      <w:proofErr w:type="gramStart"/>
      <w:r>
        <w:rPr>
          <w:rFonts w:eastAsia="宋体"/>
          <w:sz w:val="24"/>
          <w:szCs w:val="24"/>
        </w:rPr>
        <w:t>具有科创</w:t>
      </w:r>
      <w:proofErr w:type="gramEnd"/>
      <w:r>
        <w:rPr>
          <w:rFonts w:eastAsia="宋体"/>
          <w:sz w:val="24"/>
          <w:szCs w:val="24"/>
        </w:rPr>
        <w:t>园区、产业招商、绿色建筑、智慧生态等一个或多个方面的前沿性关键技术储备的优先考虑。</w:t>
      </w:r>
    </w:p>
    <w:p w14:paraId="4C74E542" w14:textId="77777777" w:rsidR="005F3BF6" w:rsidRDefault="005F3BF6" w:rsidP="005F3BF6">
      <w:pPr>
        <w:pStyle w:val="af"/>
        <w:spacing w:beforeLines="50" w:before="120" w:afterLines="50" w:after="120" w:line="240" w:lineRule="auto"/>
        <w:ind w:right="114" w:firstLine="482"/>
        <w:rPr>
          <w:rFonts w:eastAsia="宋体"/>
          <w:sz w:val="24"/>
          <w:szCs w:val="24"/>
        </w:rPr>
      </w:pPr>
      <w:r>
        <w:rPr>
          <w:rFonts w:eastAsia="宋体"/>
          <w:b/>
          <w:sz w:val="24"/>
          <w:szCs w:val="24"/>
          <w:lang w:eastAsia="en-US"/>
        </w:rPr>
        <w:t>(2) Relevant project experience:</w:t>
      </w:r>
      <w:r>
        <w:rPr>
          <w:rFonts w:eastAsia="宋体"/>
          <w:b/>
          <w:sz w:val="24"/>
          <w:szCs w:val="24"/>
        </w:rPr>
        <w:t xml:space="preserve"> </w:t>
      </w:r>
      <w:r>
        <w:rPr>
          <w:rFonts w:eastAsia="宋体"/>
          <w:sz w:val="24"/>
          <w:szCs w:val="24"/>
        </w:rPr>
        <w:t>Number and sizes of similar projects completed, and performance in urban design, architectural landmark design, or industrial investment promotion consulting and planning in one of the areas such as central business district, specialized park, key urban areas, or industrial comprehensive zones. Meanwhile, applicants with cutting-edge key technological reserves in one or more fields, such as technological innovation parks, industrial investment promotion, green buildings, and smart ecology, shall be given priority.</w:t>
      </w:r>
    </w:p>
    <w:p w14:paraId="3B8BF9E8" w14:textId="77777777" w:rsidR="005F3BF6" w:rsidRDefault="005F3BF6" w:rsidP="005F3BF6">
      <w:pPr>
        <w:pStyle w:val="af"/>
        <w:widowControl/>
        <w:spacing w:beforeLines="50" w:before="120" w:afterLines="50" w:after="120" w:line="240" w:lineRule="auto"/>
        <w:ind w:left="0" w:firstLine="482"/>
        <w:jc w:val="left"/>
        <w:rPr>
          <w:rFonts w:eastAsia="宋体"/>
          <w:sz w:val="24"/>
          <w:szCs w:val="24"/>
        </w:rPr>
      </w:pPr>
      <w:r>
        <w:rPr>
          <w:rFonts w:eastAsia="宋体"/>
          <w:b/>
          <w:bCs/>
          <w:sz w:val="24"/>
          <w:szCs w:val="24"/>
        </w:rPr>
        <w:t>（</w:t>
      </w:r>
      <w:r>
        <w:rPr>
          <w:rFonts w:eastAsia="宋体"/>
          <w:b/>
          <w:bCs/>
          <w:sz w:val="24"/>
          <w:szCs w:val="24"/>
        </w:rPr>
        <w:t>3</w:t>
      </w:r>
      <w:r>
        <w:rPr>
          <w:rFonts w:eastAsia="宋体"/>
          <w:b/>
          <w:bCs/>
          <w:sz w:val="24"/>
          <w:szCs w:val="24"/>
        </w:rPr>
        <w:t>）领衔设计师综合素质：</w:t>
      </w:r>
      <w:r>
        <w:rPr>
          <w:rFonts w:eastAsia="宋体"/>
          <w:sz w:val="24"/>
          <w:szCs w:val="24"/>
        </w:rPr>
        <w:t>领衔设计师具有的所在国家或地区规划、建筑相关行业协会或机构颁发的合法执业资格；领衔设计师个人所获行业国家奖项或荣誉；领衔设计师担任过同类项目负责人的业绩数量、规模、获奖奖项。</w:t>
      </w:r>
    </w:p>
    <w:p w14:paraId="03FF0676" w14:textId="77777777" w:rsidR="005F3BF6" w:rsidRDefault="005F3BF6" w:rsidP="005F3BF6">
      <w:pPr>
        <w:pStyle w:val="af"/>
        <w:spacing w:beforeLines="50" w:before="120" w:afterLines="50" w:after="120" w:line="240" w:lineRule="auto"/>
        <w:ind w:right="114" w:firstLine="482"/>
        <w:rPr>
          <w:rFonts w:eastAsia="宋体"/>
          <w:sz w:val="24"/>
          <w:szCs w:val="24"/>
        </w:rPr>
      </w:pPr>
      <w:r>
        <w:rPr>
          <w:rFonts w:eastAsia="宋体"/>
          <w:b/>
          <w:bCs/>
          <w:sz w:val="24"/>
          <w:szCs w:val="24"/>
        </w:rPr>
        <w:t xml:space="preserve">(3) Lead designer’s overall quality: </w:t>
      </w:r>
      <w:r>
        <w:rPr>
          <w:rFonts w:eastAsia="宋体"/>
          <w:sz w:val="24"/>
          <w:szCs w:val="24"/>
        </w:rPr>
        <w:t>The legal practice qualification issued by the planning, architecture and related industry association or institution of the country or region where the lead designer is based; national-level industry awards or honors won by the lead designer; the number of similar projects led by the lead designer, their sizes, and the awards achieved.</w:t>
      </w:r>
    </w:p>
    <w:p w14:paraId="69A793CA" w14:textId="77777777" w:rsidR="005F3BF6" w:rsidRDefault="005F3BF6" w:rsidP="005F3BF6">
      <w:pPr>
        <w:pStyle w:val="af"/>
        <w:widowControl/>
        <w:spacing w:beforeLines="50" w:before="120" w:afterLines="50" w:after="120" w:line="240" w:lineRule="auto"/>
        <w:ind w:left="0" w:firstLine="482"/>
        <w:jc w:val="left"/>
        <w:rPr>
          <w:rFonts w:eastAsia="宋体"/>
          <w:sz w:val="24"/>
          <w:szCs w:val="24"/>
        </w:rPr>
      </w:pPr>
      <w:r>
        <w:rPr>
          <w:rFonts w:eastAsia="宋体"/>
          <w:b/>
          <w:bCs/>
          <w:sz w:val="24"/>
          <w:szCs w:val="24"/>
        </w:rPr>
        <w:t>（</w:t>
      </w:r>
      <w:r>
        <w:rPr>
          <w:rFonts w:eastAsia="宋体"/>
          <w:b/>
          <w:bCs/>
          <w:sz w:val="24"/>
          <w:szCs w:val="24"/>
        </w:rPr>
        <w:t>4</w:t>
      </w:r>
      <w:r>
        <w:rPr>
          <w:rFonts w:eastAsia="宋体"/>
          <w:b/>
          <w:bCs/>
          <w:sz w:val="24"/>
          <w:szCs w:val="24"/>
        </w:rPr>
        <w:t>）联合体架构或主创团队成员组成：</w:t>
      </w:r>
      <w:r>
        <w:rPr>
          <w:rFonts w:eastAsia="宋体"/>
          <w:sz w:val="24"/>
          <w:szCs w:val="24"/>
        </w:rPr>
        <w:t>团队分工是否明确、合理；团队成员结构合理及专业齐备，包括但不限于城市规划与城市设计、建筑设计、园林景观、交通、产业、市政等专业；如为联合体，架构组成是否优势互补。</w:t>
      </w:r>
    </w:p>
    <w:p w14:paraId="5CDD8BB1" w14:textId="77777777" w:rsidR="005F3BF6" w:rsidRDefault="005F3BF6" w:rsidP="005F3BF6">
      <w:pPr>
        <w:pStyle w:val="a9"/>
        <w:tabs>
          <w:tab w:val="left" w:pos="1380"/>
        </w:tabs>
        <w:spacing w:beforeLines="50" w:before="120" w:afterLines="50" w:after="120" w:line="240" w:lineRule="auto"/>
        <w:ind w:right="117" w:firstLine="474"/>
        <w:rPr>
          <w:rFonts w:eastAsia="宋体"/>
          <w:spacing w:val="-2"/>
          <w:sz w:val="24"/>
          <w:szCs w:val="24"/>
        </w:rPr>
      </w:pPr>
      <w:r>
        <w:rPr>
          <w:rFonts w:eastAsia="宋体"/>
          <w:b/>
          <w:bCs/>
          <w:spacing w:val="-2"/>
          <w:sz w:val="24"/>
          <w:szCs w:val="24"/>
        </w:rPr>
        <w:t xml:space="preserve">(4) Consortium structure or composition of core team members: </w:t>
      </w:r>
      <w:r>
        <w:rPr>
          <w:rFonts w:eastAsia="宋体"/>
          <w:spacing w:val="-2"/>
          <w:sz w:val="24"/>
          <w:szCs w:val="24"/>
        </w:rPr>
        <w:t>Whether the division of labor within the team is clear and reasonable; whether the team features a rational structure and complete professional configuration, including but not limited to urban planning, urban design, architectural design, landscape architecture, transportation, industry, municipal engineering and other disciplines. For consortium applicants, evaluation shall also be made on whether the consortium structure constitutes complementary advantages.</w:t>
      </w:r>
    </w:p>
    <w:p w14:paraId="3A44E0F0" w14:textId="77777777" w:rsidR="005F3BF6" w:rsidRDefault="005F3BF6" w:rsidP="005F3BF6">
      <w:pPr>
        <w:pStyle w:val="af"/>
        <w:spacing w:beforeLines="50" w:before="120" w:afterLines="50" w:after="120" w:line="240" w:lineRule="auto"/>
        <w:ind w:left="0" w:firstLine="482"/>
        <w:jc w:val="left"/>
        <w:rPr>
          <w:rFonts w:eastAsia="宋体"/>
          <w:sz w:val="24"/>
          <w:szCs w:val="24"/>
        </w:rPr>
      </w:pPr>
      <w:r>
        <w:rPr>
          <w:rFonts w:eastAsia="宋体"/>
          <w:b/>
          <w:bCs/>
          <w:sz w:val="24"/>
          <w:szCs w:val="24"/>
        </w:rPr>
        <w:lastRenderedPageBreak/>
        <w:t>（</w:t>
      </w:r>
      <w:r>
        <w:rPr>
          <w:rFonts w:eastAsia="宋体"/>
          <w:b/>
          <w:bCs/>
          <w:sz w:val="24"/>
          <w:szCs w:val="24"/>
        </w:rPr>
        <w:t>5</w:t>
      </w:r>
      <w:r>
        <w:rPr>
          <w:rFonts w:eastAsia="宋体"/>
          <w:b/>
          <w:bCs/>
          <w:sz w:val="24"/>
          <w:szCs w:val="24"/>
        </w:rPr>
        <w:t>）概念提案：</w:t>
      </w:r>
      <w:r>
        <w:rPr>
          <w:rFonts w:eastAsia="宋体"/>
          <w:sz w:val="24"/>
          <w:szCs w:val="24"/>
        </w:rPr>
        <w:t>申请人提交的概念提案文本，对项目的理解是否准确，解决思路是否合理，理念是否创新。</w:t>
      </w:r>
    </w:p>
    <w:p w14:paraId="7F7636A5" w14:textId="77777777" w:rsidR="005F3BF6" w:rsidRDefault="005F3BF6" w:rsidP="005F3BF6">
      <w:pPr>
        <w:pStyle w:val="a9"/>
        <w:tabs>
          <w:tab w:val="left" w:pos="1380"/>
        </w:tabs>
        <w:spacing w:beforeLines="50" w:before="120" w:afterLines="50" w:after="120" w:line="240" w:lineRule="auto"/>
        <w:ind w:right="118" w:firstLine="482"/>
        <w:rPr>
          <w:rFonts w:eastAsia="宋体"/>
          <w:sz w:val="24"/>
          <w:szCs w:val="24"/>
        </w:rPr>
      </w:pPr>
      <w:r>
        <w:rPr>
          <w:rFonts w:eastAsia="宋体"/>
          <w:b/>
          <w:bCs/>
          <w:sz w:val="24"/>
          <w:szCs w:val="24"/>
        </w:rPr>
        <w:t xml:space="preserve">(5) Conceptual proposal: </w:t>
      </w:r>
      <w:r>
        <w:rPr>
          <w:rFonts w:eastAsia="宋体"/>
          <w:spacing w:val="-2"/>
          <w:sz w:val="24"/>
          <w:szCs w:val="24"/>
        </w:rPr>
        <w:t>The conceptual proposal submitted by the applicant will be evaluated based on the accuracy of its understanding of the project, the rationality of its solutions, and the innovativeness of its concepts.</w:t>
      </w:r>
    </w:p>
    <w:p w14:paraId="751B4183" w14:textId="77777777" w:rsidR="005F3BF6" w:rsidRDefault="005F3BF6" w:rsidP="005F3BF6">
      <w:pPr>
        <w:pStyle w:val="af"/>
        <w:widowControl/>
        <w:spacing w:beforeLines="50" w:before="120" w:afterLines="50" w:after="120" w:line="240" w:lineRule="auto"/>
        <w:ind w:left="0" w:firstLine="482"/>
        <w:rPr>
          <w:rFonts w:eastAsia="宋体"/>
          <w:b/>
          <w:bCs/>
          <w:sz w:val="24"/>
          <w:szCs w:val="24"/>
        </w:rPr>
      </w:pPr>
      <w:r>
        <w:rPr>
          <w:rFonts w:eastAsia="宋体"/>
          <w:b/>
          <w:bCs/>
          <w:sz w:val="24"/>
          <w:szCs w:val="24"/>
        </w:rPr>
        <w:t>2.</w:t>
      </w:r>
      <w:r>
        <w:rPr>
          <w:rFonts w:eastAsia="宋体"/>
          <w:b/>
          <w:bCs/>
          <w:sz w:val="24"/>
          <w:szCs w:val="24"/>
        </w:rPr>
        <w:t>择优评审采取以下方法：</w:t>
      </w:r>
    </w:p>
    <w:p w14:paraId="31AD3C3F" w14:textId="77777777" w:rsidR="005F3BF6" w:rsidRDefault="005F3BF6" w:rsidP="005F3BF6">
      <w:pPr>
        <w:pStyle w:val="af"/>
        <w:spacing w:beforeLines="50" w:before="120" w:afterLines="50" w:after="120" w:line="240" w:lineRule="auto"/>
        <w:ind w:left="0" w:firstLine="482"/>
        <w:rPr>
          <w:rFonts w:eastAsia="宋体"/>
          <w:b/>
          <w:bCs/>
          <w:sz w:val="24"/>
          <w:szCs w:val="24"/>
        </w:rPr>
      </w:pPr>
      <w:r>
        <w:rPr>
          <w:rFonts w:eastAsia="宋体" w:hint="eastAsia"/>
          <w:b/>
          <w:bCs/>
          <w:sz w:val="24"/>
          <w:szCs w:val="24"/>
        </w:rPr>
        <w:t>2.</w:t>
      </w:r>
      <w:r>
        <w:rPr>
          <w:rFonts w:eastAsia="宋体"/>
          <w:b/>
          <w:bCs/>
          <w:sz w:val="24"/>
          <w:szCs w:val="24"/>
        </w:rPr>
        <w:t>Evaluation method:</w:t>
      </w:r>
    </w:p>
    <w:p w14:paraId="5DED07E3"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w:t>
      </w:r>
      <w:r>
        <w:rPr>
          <w:rFonts w:eastAsia="宋体"/>
          <w:sz w:val="24"/>
          <w:szCs w:val="24"/>
        </w:rPr>
        <w:t>1</w:t>
      </w:r>
      <w:r>
        <w:rPr>
          <w:rFonts w:eastAsia="宋体"/>
          <w:sz w:val="24"/>
          <w:szCs w:val="24"/>
        </w:rPr>
        <w:t>）由资格审查委员会采用不记名投票方式，对所有通过符合性审查的申请人进行投票并排名，取前</w:t>
      </w:r>
      <w:r>
        <w:rPr>
          <w:rFonts w:eastAsia="宋体"/>
          <w:sz w:val="24"/>
          <w:szCs w:val="24"/>
        </w:rPr>
        <w:t>5</w:t>
      </w:r>
      <w:r>
        <w:rPr>
          <w:rFonts w:eastAsia="宋体"/>
          <w:sz w:val="24"/>
          <w:szCs w:val="24"/>
        </w:rPr>
        <w:t>名申请人为入围参赛团队，排名</w:t>
      </w:r>
      <w:r>
        <w:rPr>
          <w:rFonts w:eastAsia="宋体"/>
          <w:sz w:val="24"/>
          <w:szCs w:val="24"/>
        </w:rPr>
        <w:t>6-8</w:t>
      </w:r>
      <w:r>
        <w:rPr>
          <w:rFonts w:eastAsia="宋体"/>
          <w:sz w:val="24"/>
          <w:szCs w:val="24"/>
        </w:rPr>
        <w:t>名申请人为候补参赛团队。</w:t>
      </w:r>
    </w:p>
    <w:p w14:paraId="695488D9"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(1) The Qualification Review Committee will rank all applicants who have passed the compliance review via secret ballot. The top five applicants will be selected as the shortlisted teams, and the sixth to eighth place applicants will serve as alternate teams.</w:t>
      </w:r>
    </w:p>
    <w:p w14:paraId="6B12D08F"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w:t>
      </w:r>
      <w:r>
        <w:rPr>
          <w:rFonts w:eastAsia="宋体"/>
          <w:sz w:val="24"/>
          <w:szCs w:val="24"/>
        </w:rPr>
        <w:t>2</w:t>
      </w:r>
      <w:r>
        <w:rPr>
          <w:rFonts w:eastAsia="宋体"/>
          <w:sz w:val="24"/>
          <w:szCs w:val="24"/>
        </w:rPr>
        <w:t>）遇票数相等不能确定结果时，应由资格审查委员会进行附加投票，以确定名次。</w:t>
      </w:r>
    </w:p>
    <w:p w14:paraId="4BD7F516"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(2) If a ballot tie prevents a clear ranking, an additional round of voting shall be conducted by the Qualification Review Committee to determine final positions.</w:t>
      </w:r>
    </w:p>
    <w:p w14:paraId="36E21FA4"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w:t>
      </w:r>
      <w:r>
        <w:rPr>
          <w:rFonts w:eastAsia="宋体"/>
          <w:sz w:val="24"/>
          <w:szCs w:val="24"/>
        </w:rPr>
        <w:t>3</w:t>
      </w:r>
      <w:r>
        <w:rPr>
          <w:rFonts w:eastAsia="宋体"/>
          <w:sz w:val="24"/>
          <w:szCs w:val="24"/>
        </w:rPr>
        <w:t>）投票结束后，点票人员对投票人数、票数和每票应选申请人总数加以核对和统计，作废的选票不得统计，并</w:t>
      </w:r>
      <w:proofErr w:type="gramStart"/>
      <w:r>
        <w:rPr>
          <w:rFonts w:eastAsia="宋体"/>
          <w:sz w:val="24"/>
          <w:szCs w:val="24"/>
        </w:rPr>
        <w:t>向资格</w:t>
      </w:r>
      <w:proofErr w:type="gramEnd"/>
      <w:r>
        <w:rPr>
          <w:rFonts w:eastAsia="宋体"/>
          <w:sz w:val="24"/>
          <w:szCs w:val="24"/>
        </w:rPr>
        <w:t>审查委员会报告。</w:t>
      </w:r>
    </w:p>
    <w:p w14:paraId="1BE49778"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(3) After the ballot ends, the tallying personnel will verify and count the turnout, the number of ballots cast, and the total number of applicants that shall be selected by each ballot. Invalid ballots shall not be counted and shall be reported to the Qualification Review Committee.</w:t>
      </w:r>
    </w:p>
    <w:p w14:paraId="2B93959C"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w:t>
      </w:r>
      <w:r>
        <w:rPr>
          <w:rFonts w:eastAsia="宋体"/>
          <w:sz w:val="24"/>
          <w:szCs w:val="24"/>
        </w:rPr>
        <w:t>4</w:t>
      </w:r>
      <w:r>
        <w:rPr>
          <w:rFonts w:eastAsia="宋体"/>
          <w:sz w:val="24"/>
          <w:szCs w:val="24"/>
        </w:rPr>
        <w:t>）资格审查委员会成员应当独立投票，自投票开始至最终排名统计结果公布期间，任何人不得非法干预、影响投票过程，不得透露、协商、改变投票结果，不得使用通信联络工具。</w:t>
      </w:r>
    </w:p>
    <w:p w14:paraId="57DF524B" w14:textId="77777777" w:rsidR="005F3BF6" w:rsidRDefault="005F3BF6" w:rsidP="005F3BF6">
      <w:pPr>
        <w:pStyle w:val="af"/>
        <w:spacing w:beforeLines="50" w:before="120" w:afterLines="50" w:after="120" w:line="240" w:lineRule="auto"/>
        <w:ind w:left="0" w:firstLine="480"/>
        <w:rPr>
          <w:rFonts w:eastAsia="宋体"/>
          <w:sz w:val="24"/>
          <w:szCs w:val="24"/>
        </w:rPr>
      </w:pPr>
      <w:r>
        <w:rPr>
          <w:rFonts w:eastAsia="宋体"/>
          <w:sz w:val="24"/>
          <w:szCs w:val="24"/>
        </w:rPr>
        <w:t>(</w:t>
      </w:r>
      <w:proofErr w:type="gramStart"/>
      <w:r>
        <w:rPr>
          <w:rFonts w:eastAsia="宋体"/>
          <w:sz w:val="24"/>
          <w:szCs w:val="24"/>
        </w:rPr>
        <w:t>4)Members</w:t>
      </w:r>
      <w:proofErr w:type="gramEnd"/>
      <w:r>
        <w:rPr>
          <w:rFonts w:eastAsia="宋体"/>
          <w:sz w:val="24"/>
          <w:szCs w:val="24"/>
        </w:rPr>
        <w:t xml:space="preserve"> of the Qualification Review Committee shall cast their ballots independently. During the voting period and until the announcement of the final rankings, no one is allowed to illegally interfere with or influence the ballot process, or disclose, negotiate on, alter the ballot results, or use any communication tools.</w:t>
      </w:r>
    </w:p>
    <w:p w14:paraId="2D64F22C" w14:textId="77777777" w:rsidR="005F3BF6" w:rsidRDefault="005F3BF6" w:rsidP="005F3BF6">
      <w:pPr>
        <w:pStyle w:val="ae"/>
        <w:overflowPunct w:val="0"/>
        <w:spacing w:beforeLines="50" w:before="120" w:afterLines="50" w:after="120" w:line="240" w:lineRule="auto"/>
        <w:ind w:firstLine="480"/>
        <w:rPr>
          <w:rFonts w:eastAsia="宋体"/>
          <w:sz w:val="24"/>
          <w:szCs w:val="24"/>
        </w:rPr>
      </w:pPr>
    </w:p>
    <w:p w14:paraId="681BC88D" w14:textId="77777777" w:rsidR="00A64B15" w:rsidRPr="005F3BF6" w:rsidRDefault="00A64B15">
      <w:pPr>
        <w:ind w:firstLine="640"/>
        <w:rPr>
          <w:rFonts w:hint="eastAsia"/>
        </w:rPr>
      </w:pPr>
    </w:p>
    <w:sectPr w:rsidR="00A64B15" w:rsidRPr="005F3BF6" w:rsidSect="005F3BF6">
      <w:headerReference w:type="even" r:id="rId5"/>
      <w:headerReference w:type="default" r:id="rId6"/>
      <w:footerReference w:type="even" r:id="rId7"/>
      <w:footerReference w:type="default" r:id="rId8"/>
      <w:headerReference w:type="first" r:id="rId9"/>
      <w:footerReference w:type="first" r:id="rId10"/>
      <w:pgSz w:w="11906" w:h="16838"/>
      <w:pgMar w:top="2098" w:right="1531" w:bottom="1984" w:left="1531" w:header="851" w:footer="992"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_x0007_.　璿..">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8306C" w14:textId="77777777" w:rsidR="00000000" w:rsidRDefault="00000000">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0938" w14:textId="77777777" w:rsidR="00000000" w:rsidRDefault="00000000">
    <w:pPr>
      <w:pStyle w:val="af1"/>
      <w:ind w:firstLine="360"/>
    </w:pPr>
    <w:r>
      <w:rPr>
        <w:noProof/>
      </w:rPr>
      <mc:AlternateContent>
        <mc:Choice Requires="wps">
          <w:drawing>
            <wp:anchor distT="0" distB="0" distL="114300" distR="114300" simplePos="0" relativeHeight="251659264" behindDoc="0" locked="0" layoutInCell="1" allowOverlap="1" wp14:anchorId="352D8331" wp14:editId="2E0EB2C3">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4AB3D2E" w14:textId="77777777" w:rsidR="00000000" w:rsidRDefault="00000000">
                          <w:pPr>
                            <w:pStyle w:val="af1"/>
                            <w:ind w:firstLine="36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52D8331"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14AB3D2E" w14:textId="77777777" w:rsidR="00000000" w:rsidRDefault="00000000">
                    <w:pPr>
                      <w:pStyle w:val="af1"/>
                      <w:ind w:firstLine="360"/>
                    </w:pPr>
                    <w:r>
                      <w:fldChar w:fldCharType="begin"/>
                    </w:r>
                    <w:r>
                      <w:instrText xml:space="preserve"> PAGE  \* MERGEFORMAT </w:instrText>
                    </w:r>
                    <w:r>
                      <w:fldChar w:fldCharType="separate"/>
                    </w:r>
                    <w:r>
                      <w:t>17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DD7B8" w14:textId="77777777" w:rsidR="00000000" w:rsidRDefault="00000000">
    <w:pPr>
      <w:pStyle w:val="af1"/>
      <w:ind w:firstLine="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83F44" w14:textId="77777777" w:rsidR="00000000" w:rsidRDefault="00000000">
    <w:pPr>
      <w:pStyle w:val="af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4150B" w14:textId="77777777" w:rsidR="00000000" w:rsidRDefault="00000000">
    <w:pPr>
      <w:pStyle w:val="af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8FAE" w14:textId="77777777" w:rsidR="00000000" w:rsidRDefault="00000000">
    <w:pPr>
      <w:pStyle w:val="af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39118B"/>
    <w:multiLevelType w:val="multilevel"/>
    <w:tmpl w:val="FE39118B"/>
    <w:lvl w:ilvl="0">
      <w:start w:val="1"/>
      <w:numFmt w:val="upperRoman"/>
      <w:suff w:val="space"/>
      <w:lvlText w:val="%1."/>
      <w:lvlJc w:val="left"/>
      <w:pPr>
        <w:ind w:left="0" w:hanging="284"/>
      </w:pPr>
      <w:rPr>
        <w:rFonts w:ascii="Times New Roman" w:eastAsia="Times New Roman" w:hAnsi="Times New Roman" w:cs="Times New Roman" w:hint="default"/>
        <w:b/>
        <w:bCs/>
        <w:i w:val="0"/>
        <w:iCs w:val="0"/>
        <w:w w:val="99"/>
        <w:sz w:val="24"/>
        <w:szCs w:val="24"/>
      </w:rPr>
    </w:lvl>
    <w:lvl w:ilvl="1">
      <w:start w:val="1"/>
      <w:numFmt w:val="upperRoman"/>
      <w:suff w:val="space"/>
      <w:lvlText w:val="(%2)"/>
      <w:lvlJc w:val="left"/>
      <w:pPr>
        <w:ind w:left="-924" w:hanging="408"/>
        <w:jc w:val="right"/>
      </w:pPr>
      <w:rPr>
        <w:rFonts w:ascii="Times New Roman" w:eastAsia="Times New Roman" w:hAnsi="Times New Roman" w:cs="Times New Roman" w:hint="default"/>
        <w:b w:val="0"/>
        <w:bCs w:val="0"/>
        <w:i w:val="0"/>
        <w:iCs w:val="0"/>
        <w:spacing w:val="-1"/>
        <w:w w:val="99"/>
        <w:sz w:val="24"/>
        <w:szCs w:val="24"/>
      </w:rPr>
    </w:lvl>
    <w:lvl w:ilvl="2">
      <w:numFmt w:val="bullet"/>
      <w:lvlText w:val="•"/>
      <w:lvlJc w:val="left"/>
      <w:pPr>
        <w:ind w:left="830" w:hanging="408"/>
      </w:pPr>
      <w:rPr>
        <w:rFonts w:hint="default"/>
      </w:rPr>
    </w:lvl>
    <w:lvl w:ilvl="3">
      <w:numFmt w:val="bullet"/>
      <w:lvlText w:val="•"/>
      <w:lvlJc w:val="left"/>
      <w:pPr>
        <w:ind w:left="1664" w:hanging="408"/>
      </w:pPr>
      <w:rPr>
        <w:rFonts w:hint="default"/>
      </w:rPr>
    </w:lvl>
    <w:lvl w:ilvl="4">
      <w:numFmt w:val="bullet"/>
      <w:lvlText w:val="•"/>
      <w:lvlJc w:val="left"/>
      <w:pPr>
        <w:ind w:left="2498" w:hanging="408"/>
      </w:pPr>
      <w:rPr>
        <w:rFonts w:hint="default"/>
      </w:rPr>
    </w:lvl>
    <w:lvl w:ilvl="5">
      <w:numFmt w:val="bullet"/>
      <w:lvlText w:val="•"/>
      <w:lvlJc w:val="left"/>
      <w:pPr>
        <w:ind w:left="3332" w:hanging="408"/>
      </w:pPr>
      <w:rPr>
        <w:rFonts w:hint="default"/>
      </w:rPr>
    </w:lvl>
    <w:lvl w:ilvl="6">
      <w:numFmt w:val="bullet"/>
      <w:lvlText w:val="•"/>
      <w:lvlJc w:val="left"/>
      <w:pPr>
        <w:ind w:left="4166" w:hanging="408"/>
      </w:pPr>
      <w:rPr>
        <w:rFonts w:hint="default"/>
      </w:rPr>
    </w:lvl>
    <w:lvl w:ilvl="7">
      <w:numFmt w:val="bullet"/>
      <w:lvlText w:val="•"/>
      <w:lvlJc w:val="left"/>
      <w:pPr>
        <w:ind w:left="5000" w:hanging="408"/>
      </w:pPr>
      <w:rPr>
        <w:rFonts w:hint="default"/>
      </w:rPr>
    </w:lvl>
    <w:lvl w:ilvl="8">
      <w:numFmt w:val="bullet"/>
      <w:lvlText w:val="•"/>
      <w:lvlJc w:val="left"/>
      <w:pPr>
        <w:ind w:left="5834" w:hanging="408"/>
      </w:pPr>
      <w:rPr>
        <w:rFonts w:hint="default"/>
      </w:rPr>
    </w:lvl>
  </w:abstractNum>
  <w:num w:numId="1" w16cid:durableId="721446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F6"/>
    <w:rsid w:val="004A300F"/>
    <w:rsid w:val="005F3BF6"/>
    <w:rsid w:val="007869F4"/>
    <w:rsid w:val="00A64B15"/>
    <w:rsid w:val="00C90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28014"/>
  <w15:chartTrackingRefBased/>
  <w15:docId w15:val="{538300E4-55C3-42B6-AA13-D4BAAD813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BF6"/>
    <w:pPr>
      <w:widowControl w:val="0"/>
      <w:spacing w:line="600" w:lineRule="exact"/>
      <w:ind w:firstLineChars="200" w:firstLine="880"/>
      <w:jc w:val="both"/>
    </w:pPr>
    <w:rPr>
      <w:rFonts w:ascii="Times New Roman" w:eastAsia="仿宋_GB2312" w:hAnsi="Times New Roman" w:cs="Times New Roman"/>
      <w:sz w:val="32"/>
      <w:szCs w:val="32"/>
    </w:rPr>
  </w:style>
  <w:style w:type="paragraph" w:styleId="1">
    <w:name w:val="heading 1"/>
    <w:basedOn w:val="a"/>
    <w:next w:val="a"/>
    <w:link w:val="10"/>
    <w:qFormat/>
    <w:rsid w:val="005F3BF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F3BF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F3BF6"/>
    <w:pPr>
      <w:keepNext/>
      <w:keepLines/>
      <w:spacing w:before="160" w:after="80"/>
      <w:outlineLvl w:val="2"/>
    </w:pPr>
    <w:rPr>
      <w:rFonts w:asciiTheme="majorHAnsi" w:eastAsiaTheme="majorEastAsia" w:hAnsiTheme="majorHAnsi" w:cstheme="majorBidi"/>
      <w:color w:val="0F4761" w:themeColor="accent1" w:themeShade="BF"/>
    </w:rPr>
  </w:style>
  <w:style w:type="paragraph" w:styleId="4">
    <w:name w:val="heading 4"/>
    <w:basedOn w:val="a"/>
    <w:next w:val="a"/>
    <w:link w:val="40"/>
    <w:uiPriority w:val="9"/>
    <w:semiHidden/>
    <w:unhideWhenUsed/>
    <w:qFormat/>
    <w:rsid w:val="005F3BF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F3BF6"/>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5F3BF6"/>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F3BF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F3BF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F3BF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F3BF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5F3BF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F3BF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F3BF6"/>
    <w:rPr>
      <w:rFonts w:cstheme="majorBidi"/>
      <w:color w:val="0F4761" w:themeColor="accent1" w:themeShade="BF"/>
      <w:sz w:val="28"/>
      <w:szCs w:val="28"/>
    </w:rPr>
  </w:style>
  <w:style w:type="character" w:customStyle="1" w:styleId="50">
    <w:name w:val="标题 5 字符"/>
    <w:basedOn w:val="a0"/>
    <w:link w:val="5"/>
    <w:uiPriority w:val="9"/>
    <w:semiHidden/>
    <w:rsid w:val="005F3BF6"/>
    <w:rPr>
      <w:rFonts w:cstheme="majorBidi"/>
      <w:color w:val="0F4761" w:themeColor="accent1" w:themeShade="BF"/>
      <w:sz w:val="24"/>
      <w:szCs w:val="24"/>
    </w:rPr>
  </w:style>
  <w:style w:type="character" w:customStyle="1" w:styleId="60">
    <w:name w:val="标题 6 字符"/>
    <w:basedOn w:val="a0"/>
    <w:link w:val="6"/>
    <w:uiPriority w:val="9"/>
    <w:semiHidden/>
    <w:rsid w:val="005F3BF6"/>
    <w:rPr>
      <w:rFonts w:cstheme="majorBidi"/>
      <w:b/>
      <w:bCs/>
      <w:color w:val="0F4761" w:themeColor="accent1" w:themeShade="BF"/>
    </w:rPr>
  </w:style>
  <w:style w:type="character" w:customStyle="1" w:styleId="70">
    <w:name w:val="标题 7 字符"/>
    <w:basedOn w:val="a0"/>
    <w:link w:val="7"/>
    <w:uiPriority w:val="9"/>
    <w:semiHidden/>
    <w:rsid w:val="005F3BF6"/>
    <w:rPr>
      <w:rFonts w:cstheme="majorBidi"/>
      <w:b/>
      <w:bCs/>
      <w:color w:val="595959" w:themeColor="text1" w:themeTint="A6"/>
    </w:rPr>
  </w:style>
  <w:style w:type="character" w:customStyle="1" w:styleId="80">
    <w:name w:val="标题 8 字符"/>
    <w:basedOn w:val="a0"/>
    <w:link w:val="8"/>
    <w:uiPriority w:val="9"/>
    <w:semiHidden/>
    <w:rsid w:val="005F3BF6"/>
    <w:rPr>
      <w:rFonts w:cstheme="majorBidi"/>
      <w:color w:val="595959" w:themeColor="text1" w:themeTint="A6"/>
    </w:rPr>
  </w:style>
  <w:style w:type="character" w:customStyle="1" w:styleId="90">
    <w:name w:val="标题 9 字符"/>
    <w:basedOn w:val="a0"/>
    <w:link w:val="9"/>
    <w:uiPriority w:val="9"/>
    <w:semiHidden/>
    <w:rsid w:val="005F3BF6"/>
    <w:rPr>
      <w:rFonts w:eastAsiaTheme="majorEastAsia" w:cstheme="majorBidi"/>
      <w:color w:val="595959" w:themeColor="text1" w:themeTint="A6"/>
    </w:rPr>
  </w:style>
  <w:style w:type="paragraph" w:styleId="a3">
    <w:name w:val="Title"/>
    <w:basedOn w:val="a"/>
    <w:next w:val="a"/>
    <w:link w:val="a4"/>
    <w:uiPriority w:val="10"/>
    <w:qFormat/>
    <w:rsid w:val="005F3BF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F3BF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F3BF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F3BF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F3BF6"/>
    <w:pPr>
      <w:spacing w:before="160" w:after="160"/>
      <w:jc w:val="center"/>
    </w:pPr>
    <w:rPr>
      <w:i/>
      <w:iCs/>
      <w:color w:val="404040" w:themeColor="text1" w:themeTint="BF"/>
    </w:rPr>
  </w:style>
  <w:style w:type="character" w:customStyle="1" w:styleId="a8">
    <w:name w:val="引用 字符"/>
    <w:basedOn w:val="a0"/>
    <w:link w:val="a7"/>
    <w:uiPriority w:val="29"/>
    <w:rsid w:val="005F3BF6"/>
    <w:rPr>
      <w:i/>
      <w:iCs/>
      <w:color w:val="404040" w:themeColor="text1" w:themeTint="BF"/>
    </w:rPr>
  </w:style>
  <w:style w:type="paragraph" w:styleId="a9">
    <w:name w:val="List Paragraph"/>
    <w:basedOn w:val="a"/>
    <w:uiPriority w:val="34"/>
    <w:qFormat/>
    <w:rsid w:val="005F3BF6"/>
    <w:pPr>
      <w:ind w:left="720"/>
      <w:contextualSpacing/>
    </w:pPr>
  </w:style>
  <w:style w:type="character" w:styleId="aa">
    <w:name w:val="Intense Emphasis"/>
    <w:basedOn w:val="a0"/>
    <w:uiPriority w:val="21"/>
    <w:qFormat/>
    <w:rsid w:val="005F3BF6"/>
    <w:rPr>
      <w:i/>
      <w:iCs/>
      <w:color w:val="0F4761" w:themeColor="accent1" w:themeShade="BF"/>
    </w:rPr>
  </w:style>
  <w:style w:type="paragraph" w:styleId="ab">
    <w:name w:val="Intense Quote"/>
    <w:basedOn w:val="a"/>
    <w:next w:val="a"/>
    <w:link w:val="ac"/>
    <w:uiPriority w:val="30"/>
    <w:qFormat/>
    <w:rsid w:val="005F3B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F3BF6"/>
    <w:rPr>
      <w:i/>
      <w:iCs/>
      <w:color w:val="0F4761" w:themeColor="accent1" w:themeShade="BF"/>
    </w:rPr>
  </w:style>
  <w:style w:type="character" w:styleId="ad">
    <w:name w:val="Intense Reference"/>
    <w:basedOn w:val="a0"/>
    <w:uiPriority w:val="32"/>
    <w:qFormat/>
    <w:rsid w:val="005F3BF6"/>
    <w:rPr>
      <w:b/>
      <w:bCs/>
      <w:smallCaps/>
      <w:color w:val="0F4761" w:themeColor="accent1" w:themeShade="BF"/>
      <w:spacing w:val="5"/>
    </w:rPr>
  </w:style>
  <w:style w:type="paragraph" w:styleId="ae">
    <w:name w:val="Normal Indent"/>
    <w:basedOn w:val="a"/>
    <w:next w:val="TOC4"/>
    <w:qFormat/>
    <w:rsid w:val="005F3BF6"/>
    <w:pPr>
      <w:ind w:firstLine="630"/>
    </w:pPr>
  </w:style>
  <w:style w:type="paragraph" w:styleId="TOC4">
    <w:name w:val="toc 4"/>
    <w:basedOn w:val="a"/>
    <w:next w:val="a"/>
    <w:qFormat/>
    <w:rsid w:val="005F3BF6"/>
    <w:pPr>
      <w:wordWrap w:val="0"/>
      <w:ind w:left="850"/>
    </w:pPr>
    <w:rPr>
      <w:rFonts w:cs="黑体"/>
      <w:sz w:val="21"/>
      <w:szCs w:val="22"/>
    </w:rPr>
  </w:style>
  <w:style w:type="paragraph" w:styleId="af">
    <w:name w:val="Body Text"/>
    <w:basedOn w:val="a"/>
    <w:link w:val="af0"/>
    <w:uiPriority w:val="1"/>
    <w:qFormat/>
    <w:rsid w:val="005F3BF6"/>
    <w:pPr>
      <w:ind w:left="120"/>
    </w:pPr>
  </w:style>
  <w:style w:type="character" w:customStyle="1" w:styleId="af0">
    <w:name w:val="正文文本 字符"/>
    <w:basedOn w:val="a0"/>
    <w:link w:val="af"/>
    <w:uiPriority w:val="1"/>
    <w:rsid w:val="005F3BF6"/>
    <w:rPr>
      <w:rFonts w:ascii="Times New Roman" w:eastAsia="仿宋_GB2312" w:hAnsi="Times New Roman" w:cs="Times New Roman"/>
      <w:sz w:val="32"/>
      <w:szCs w:val="32"/>
    </w:rPr>
  </w:style>
  <w:style w:type="paragraph" w:styleId="af1">
    <w:name w:val="footer"/>
    <w:basedOn w:val="a"/>
    <w:link w:val="af2"/>
    <w:qFormat/>
    <w:rsid w:val="005F3BF6"/>
    <w:pPr>
      <w:tabs>
        <w:tab w:val="center" w:pos="4153"/>
        <w:tab w:val="right" w:pos="8306"/>
      </w:tabs>
      <w:snapToGrid w:val="0"/>
      <w:jc w:val="left"/>
    </w:pPr>
    <w:rPr>
      <w:sz w:val="18"/>
    </w:rPr>
  </w:style>
  <w:style w:type="character" w:customStyle="1" w:styleId="af2">
    <w:name w:val="页脚 字符"/>
    <w:basedOn w:val="a0"/>
    <w:link w:val="af1"/>
    <w:rsid w:val="005F3BF6"/>
    <w:rPr>
      <w:rFonts w:ascii="Times New Roman" w:eastAsia="仿宋_GB2312" w:hAnsi="Times New Roman" w:cs="Times New Roman"/>
      <w:sz w:val="18"/>
      <w:szCs w:val="32"/>
    </w:rPr>
  </w:style>
  <w:style w:type="paragraph" w:styleId="af3">
    <w:name w:val="header"/>
    <w:basedOn w:val="a"/>
    <w:link w:val="af4"/>
    <w:qFormat/>
    <w:rsid w:val="005F3BF6"/>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character" w:customStyle="1" w:styleId="af4">
    <w:name w:val="页眉 字符"/>
    <w:basedOn w:val="a0"/>
    <w:link w:val="af3"/>
    <w:rsid w:val="005F3BF6"/>
    <w:rPr>
      <w:rFonts w:ascii="Times New Roman" w:eastAsia="仿宋_GB2312" w:hAnsi="Times New Roman" w:cs="Times New Roman"/>
      <w:sz w:val="18"/>
      <w:szCs w:val="32"/>
    </w:rPr>
  </w:style>
  <w:style w:type="paragraph" w:customStyle="1" w:styleId="Default">
    <w:name w:val="Default"/>
    <w:qFormat/>
    <w:rsid w:val="005F3BF6"/>
    <w:pPr>
      <w:widowControl w:val="0"/>
      <w:autoSpaceDE w:val="0"/>
      <w:autoSpaceDN w:val="0"/>
      <w:adjustRightInd w:val="0"/>
      <w:jc w:val="both"/>
    </w:pPr>
    <w:rPr>
      <w:rFonts w:ascii="宋体_x0007_.　璿.." w:eastAsia="宋体_x0007_.　璿.." w:hAnsi="Calibri" w:cs="宋体_x0007_.　璿.."/>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1414</Words>
  <Characters>8064</Characters>
  <Application>Microsoft Office Word</Application>
  <DocSecurity>0</DocSecurity>
  <Lines>67</Lines>
  <Paragraphs>18</Paragraphs>
  <ScaleCrop>false</ScaleCrop>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2026-05-22T07:15:00Z</dcterms:created>
  <dcterms:modified xsi:type="dcterms:W3CDTF">2026-05-22T07:27:00Z</dcterms:modified>
</cp:coreProperties>
</file>